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EF4B8" w14:textId="77777777" w:rsidR="00FF6B5C" w:rsidRDefault="00FF6B5C" w:rsidP="002358FD">
      <w:pPr>
        <w:spacing w:after="0"/>
        <w:jc w:val="both"/>
        <w:rPr>
          <w:rFonts w:ascii="Times New Roman" w:eastAsia="Calibri" w:hAnsi="Times New Roman" w:cs="Times New Roman"/>
          <w:bCs/>
          <w:sz w:val="24"/>
          <w:szCs w:val="24"/>
        </w:rPr>
      </w:pPr>
      <w:bookmarkStart w:id="0" w:name="_Hlk174957926"/>
    </w:p>
    <w:p w14:paraId="2F94F0E2" w14:textId="1F0C4FD2" w:rsidR="00CC180B" w:rsidRPr="002358FD" w:rsidRDefault="00CC180B" w:rsidP="002358FD">
      <w:pPr>
        <w:spacing w:after="0"/>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t xml:space="preserve">COUR SUPREME                                                                 </w:t>
      </w:r>
      <w:r w:rsidR="00151CED">
        <w:rPr>
          <w:rFonts w:ascii="Times New Roman" w:eastAsia="Calibri" w:hAnsi="Times New Roman" w:cs="Times New Roman"/>
          <w:bCs/>
          <w:sz w:val="24"/>
          <w:szCs w:val="24"/>
        </w:rPr>
        <w:t xml:space="preserve">                   </w:t>
      </w:r>
      <w:r w:rsidRPr="002358FD">
        <w:rPr>
          <w:rFonts w:ascii="Times New Roman" w:eastAsia="Calibri" w:hAnsi="Times New Roman" w:cs="Times New Roman"/>
          <w:bCs/>
          <w:sz w:val="24"/>
          <w:szCs w:val="24"/>
        </w:rPr>
        <w:t xml:space="preserve">  REPUBLIQUE DU MALI</w:t>
      </w:r>
    </w:p>
    <w:p w14:paraId="7FE9E77D" w14:textId="591C4ED3" w:rsidR="00CC180B" w:rsidRPr="002358FD" w:rsidRDefault="00CC180B" w:rsidP="002358FD">
      <w:pPr>
        <w:spacing w:after="0"/>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t xml:space="preserve">      =-=-=-=-=-=-=-=-=                                                        </w:t>
      </w:r>
      <w:r w:rsidR="00151CED">
        <w:rPr>
          <w:rFonts w:ascii="Times New Roman" w:eastAsia="Calibri" w:hAnsi="Times New Roman" w:cs="Times New Roman"/>
          <w:bCs/>
          <w:sz w:val="24"/>
          <w:szCs w:val="24"/>
        </w:rPr>
        <w:t xml:space="preserve">                  </w:t>
      </w:r>
      <w:r w:rsidRPr="002358FD">
        <w:rPr>
          <w:rFonts w:ascii="Times New Roman" w:eastAsia="Calibri" w:hAnsi="Times New Roman" w:cs="Times New Roman"/>
          <w:bCs/>
          <w:sz w:val="24"/>
          <w:szCs w:val="24"/>
        </w:rPr>
        <w:t xml:space="preserve">  Un Peuple – Un But – Une Foi  </w:t>
      </w:r>
    </w:p>
    <w:p w14:paraId="2391B7B0" w14:textId="77777777" w:rsidR="00D50FAD" w:rsidRDefault="00CC180B" w:rsidP="002358FD">
      <w:pPr>
        <w:spacing w:after="0"/>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t xml:space="preserve">CABINET DU </w:t>
      </w:r>
      <w:r w:rsidR="00151CED">
        <w:rPr>
          <w:rFonts w:ascii="Times New Roman" w:eastAsia="Calibri" w:hAnsi="Times New Roman" w:cs="Times New Roman"/>
          <w:bCs/>
          <w:sz w:val="24"/>
          <w:szCs w:val="24"/>
        </w:rPr>
        <w:t>PRESIDENT</w:t>
      </w:r>
      <w:r w:rsidRPr="002358FD">
        <w:rPr>
          <w:rFonts w:ascii="Times New Roman" w:eastAsia="Calibri" w:hAnsi="Times New Roman" w:cs="Times New Roman"/>
          <w:bCs/>
          <w:sz w:val="24"/>
          <w:szCs w:val="24"/>
        </w:rPr>
        <w:t xml:space="preserve">  </w:t>
      </w:r>
      <w:r w:rsidR="00151CED">
        <w:rPr>
          <w:rFonts w:ascii="Times New Roman" w:eastAsia="Calibri" w:hAnsi="Times New Roman" w:cs="Times New Roman"/>
          <w:bCs/>
          <w:sz w:val="24"/>
          <w:szCs w:val="24"/>
        </w:rPr>
        <w:t xml:space="preserve">                                                                     </w:t>
      </w:r>
      <w:r w:rsidR="00D50FAD">
        <w:rPr>
          <w:rFonts w:ascii="Times New Roman" w:eastAsia="Calibri" w:hAnsi="Times New Roman" w:cs="Times New Roman"/>
          <w:bCs/>
          <w:sz w:val="24"/>
          <w:szCs w:val="24"/>
        </w:rPr>
        <w:t xml:space="preserve">    </w:t>
      </w:r>
      <w:r w:rsidR="00151CED">
        <w:rPr>
          <w:rFonts w:ascii="Times New Roman" w:eastAsia="Calibri" w:hAnsi="Times New Roman" w:cs="Times New Roman"/>
          <w:bCs/>
          <w:sz w:val="24"/>
          <w:szCs w:val="24"/>
        </w:rPr>
        <w:t xml:space="preserve">  </w:t>
      </w:r>
      <w:r w:rsidR="00151CED" w:rsidRPr="002358FD">
        <w:rPr>
          <w:rFonts w:ascii="Times New Roman" w:eastAsia="Calibri" w:hAnsi="Times New Roman" w:cs="Times New Roman"/>
          <w:bCs/>
          <w:sz w:val="24"/>
          <w:szCs w:val="24"/>
        </w:rPr>
        <w:t>=-=-=-=-=-=-=-=-=</w:t>
      </w:r>
      <w:r w:rsidRPr="002358FD">
        <w:rPr>
          <w:rFonts w:ascii="Times New Roman" w:eastAsia="Calibri" w:hAnsi="Times New Roman" w:cs="Times New Roman"/>
          <w:bCs/>
          <w:sz w:val="24"/>
          <w:szCs w:val="24"/>
        </w:rPr>
        <w:t xml:space="preserve">  </w:t>
      </w:r>
    </w:p>
    <w:p w14:paraId="4B629B00" w14:textId="28409456" w:rsidR="00CC180B" w:rsidRPr="002358FD" w:rsidRDefault="00D50FAD" w:rsidP="002358FD">
      <w:pPr>
        <w:spacing w:after="0"/>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t>=-=-=-=-=-=-=-=-=</w:t>
      </w:r>
      <w:r w:rsidR="00CC180B" w:rsidRPr="002358FD">
        <w:rPr>
          <w:rFonts w:ascii="Times New Roman" w:eastAsia="Calibri" w:hAnsi="Times New Roman" w:cs="Times New Roman"/>
          <w:bCs/>
          <w:sz w:val="24"/>
          <w:szCs w:val="24"/>
        </w:rPr>
        <w:t xml:space="preserve">                                                                     </w:t>
      </w:r>
    </w:p>
    <w:bookmarkEnd w:id="0"/>
    <w:p w14:paraId="20E11AC1" w14:textId="77777777" w:rsidR="00CC180B" w:rsidRPr="002358FD" w:rsidRDefault="00CC180B" w:rsidP="002358FD">
      <w:pPr>
        <w:spacing w:after="0"/>
        <w:jc w:val="both"/>
        <w:rPr>
          <w:rFonts w:ascii="Times New Roman" w:eastAsia="Calibri" w:hAnsi="Times New Roman" w:cs="Times New Roman"/>
          <w:bCs/>
          <w:sz w:val="24"/>
          <w:szCs w:val="24"/>
        </w:rPr>
      </w:pPr>
    </w:p>
    <w:p w14:paraId="58AD52E7" w14:textId="77777777" w:rsidR="002358FD" w:rsidRPr="002358FD" w:rsidRDefault="002358FD" w:rsidP="002358FD">
      <w:pPr>
        <w:spacing w:line="240" w:lineRule="auto"/>
        <w:jc w:val="center"/>
        <w:rPr>
          <w:rFonts w:ascii="Times New Roman" w:eastAsia="Calibri" w:hAnsi="Times New Roman" w:cs="Times New Roman"/>
          <w:b/>
          <w:sz w:val="24"/>
          <w:szCs w:val="24"/>
        </w:rPr>
      </w:pPr>
      <w:r w:rsidRPr="002358FD">
        <w:rPr>
          <w:rFonts w:ascii="Times New Roman" w:eastAsia="Calibri" w:hAnsi="Times New Roman" w:cs="Times New Roman"/>
          <w:b/>
          <w:sz w:val="24"/>
          <w:szCs w:val="24"/>
        </w:rPr>
        <w:t>Avis d’Appel d’Offres Ouvert (AAOO)</w:t>
      </w:r>
    </w:p>
    <w:p w14:paraId="4A9D620E" w14:textId="77777777" w:rsidR="002358FD" w:rsidRPr="002358FD" w:rsidRDefault="002358FD" w:rsidP="002358FD">
      <w:pPr>
        <w:spacing w:line="240" w:lineRule="auto"/>
        <w:jc w:val="center"/>
        <w:rPr>
          <w:rFonts w:ascii="Times New Roman" w:eastAsia="Calibri" w:hAnsi="Times New Roman" w:cs="Times New Roman"/>
          <w:b/>
          <w:sz w:val="24"/>
          <w:szCs w:val="24"/>
        </w:rPr>
      </w:pPr>
      <w:r w:rsidRPr="002358FD">
        <w:rPr>
          <w:rFonts w:ascii="Times New Roman" w:eastAsia="Calibri" w:hAnsi="Times New Roman" w:cs="Times New Roman"/>
          <w:b/>
          <w:sz w:val="24"/>
          <w:szCs w:val="24"/>
        </w:rPr>
        <w:t>COUR SUPREME DU MALI</w:t>
      </w:r>
    </w:p>
    <w:p w14:paraId="0AF7E2F9" w14:textId="61891F99" w:rsidR="002358FD" w:rsidRPr="002358FD" w:rsidRDefault="002358FD" w:rsidP="002358FD">
      <w:pPr>
        <w:spacing w:line="240" w:lineRule="auto"/>
        <w:jc w:val="center"/>
        <w:rPr>
          <w:rFonts w:ascii="Times New Roman" w:eastAsia="Calibri" w:hAnsi="Times New Roman" w:cs="Times New Roman"/>
          <w:b/>
          <w:sz w:val="24"/>
          <w:szCs w:val="24"/>
        </w:rPr>
      </w:pPr>
      <w:r w:rsidRPr="002358FD">
        <w:rPr>
          <w:rFonts w:ascii="Times New Roman" w:eastAsia="Calibri" w:hAnsi="Times New Roman" w:cs="Times New Roman"/>
          <w:b/>
          <w:sz w:val="24"/>
          <w:szCs w:val="24"/>
        </w:rPr>
        <w:t>Acquisition de matériels de bureau et d’informatiques en deux (02) lots</w:t>
      </w:r>
    </w:p>
    <w:p w14:paraId="62CB287F" w14:textId="77777777" w:rsidR="002358FD" w:rsidRDefault="002358FD" w:rsidP="002358FD">
      <w:pPr>
        <w:spacing w:after="0" w:line="240" w:lineRule="auto"/>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t>Cet Avis d’Appel d’Offres fait suite à l’Avis Général de Passation des Marchés paru dans le journal SOIR DE BAMAKO n°6680 du 07 janvier 2026.</w:t>
      </w:r>
    </w:p>
    <w:p w14:paraId="55B0D535" w14:textId="77777777" w:rsidR="00F26B99" w:rsidRPr="002358FD" w:rsidRDefault="00F26B99" w:rsidP="002358FD">
      <w:pPr>
        <w:spacing w:after="0" w:line="240" w:lineRule="auto"/>
        <w:jc w:val="both"/>
        <w:rPr>
          <w:rFonts w:ascii="Times New Roman" w:eastAsia="Calibri" w:hAnsi="Times New Roman" w:cs="Times New Roman"/>
          <w:bCs/>
          <w:sz w:val="24"/>
          <w:szCs w:val="24"/>
        </w:rPr>
      </w:pPr>
    </w:p>
    <w:p w14:paraId="26DD7943" w14:textId="77777777" w:rsidR="002358FD" w:rsidRDefault="002358FD" w:rsidP="002358FD">
      <w:pPr>
        <w:spacing w:after="0" w:line="240" w:lineRule="auto"/>
        <w:jc w:val="both"/>
        <w:rPr>
          <w:rFonts w:ascii="Times New Roman" w:eastAsia="Calibri" w:hAnsi="Times New Roman" w:cs="Times New Roman"/>
          <w:bCs/>
          <w:iCs/>
          <w:sz w:val="24"/>
          <w:szCs w:val="24"/>
        </w:rPr>
      </w:pPr>
      <w:r w:rsidRPr="002358FD">
        <w:rPr>
          <w:rFonts w:ascii="Times New Roman" w:eastAsia="Calibri" w:hAnsi="Times New Roman" w:cs="Times New Roman"/>
          <w:bCs/>
          <w:sz w:val="24"/>
          <w:szCs w:val="24"/>
        </w:rPr>
        <w:t xml:space="preserve">Le Président de la Cour Suprême dispose de fonds sur le budget de l’État, afin de financer </w:t>
      </w:r>
      <w:r w:rsidRPr="002358FD">
        <w:rPr>
          <w:rFonts w:ascii="Times New Roman" w:eastAsia="Calibri" w:hAnsi="Times New Roman" w:cs="Times New Roman"/>
          <w:bCs/>
          <w:iCs/>
          <w:sz w:val="24"/>
          <w:szCs w:val="24"/>
        </w:rPr>
        <w:t>le</w:t>
      </w:r>
      <w:r w:rsidRPr="002358FD">
        <w:rPr>
          <w:rFonts w:ascii="Times New Roman" w:eastAsia="Calibri" w:hAnsi="Times New Roman" w:cs="Times New Roman"/>
          <w:bCs/>
          <w:i/>
          <w:sz w:val="24"/>
          <w:szCs w:val="24"/>
        </w:rPr>
        <w:t xml:space="preserve"> </w:t>
      </w:r>
      <w:r w:rsidRPr="002358FD">
        <w:rPr>
          <w:rFonts w:ascii="Times New Roman" w:eastAsia="Calibri" w:hAnsi="Times New Roman" w:cs="Times New Roman"/>
          <w:bCs/>
          <w:iCs/>
          <w:sz w:val="24"/>
          <w:szCs w:val="24"/>
        </w:rPr>
        <w:t>marché de l’acquisition de matériels de bureau et d’informatique en deux (02) lots</w:t>
      </w:r>
      <w:r w:rsidRPr="002358FD">
        <w:rPr>
          <w:rFonts w:ascii="Times New Roman" w:eastAsia="Calibri" w:hAnsi="Times New Roman" w:cs="Times New Roman"/>
          <w:bCs/>
          <w:sz w:val="24"/>
          <w:szCs w:val="24"/>
        </w:rPr>
        <w:t xml:space="preserve">, et à l’intention d’utiliser une partie de ces fonds pour effectuer des paiements au titre du marché </w:t>
      </w:r>
      <w:r w:rsidRPr="002358FD">
        <w:rPr>
          <w:rFonts w:ascii="Times New Roman" w:eastAsia="Calibri" w:hAnsi="Times New Roman" w:cs="Times New Roman"/>
          <w:bCs/>
          <w:iCs/>
          <w:sz w:val="24"/>
          <w:szCs w:val="24"/>
        </w:rPr>
        <w:t>relatif à l’acquisition de matériels de bureau et d’informatique en deux (02) lots.</w:t>
      </w:r>
    </w:p>
    <w:p w14:paraId="4B9B5B11" w14:textId="77777777" w:rsidR="00F26B99" w:rsidRPr="002358FD" w:rsidRDefault="00F26B99" w:rsidP="002358FD">
      <w:pPr>
        <w:spacing w:after="0" w:line="240" w:lineRule="auto"/>
        <w:jc w:val="both"/>
        <w:rPr>
          <w:rFonts w:ascii="Times New Roman" w:eastAsia="Calibri" w:hAnsi="Times New Roman" w:cs="Times New Roman"/>
          <w:bCs/>
          <w:sz w:val="24"/>
          <w:szCs w:val="24"/>
        </w:rPr>
      </w:pPr>
    </w:p>
    <w:p w14:paraId="1981D31D" w14:textId="77777777" w:rsidR="002358FD" w:rsidRPr="002358FD" w:rsidRDefault="002358FD" w:rsidP="002358FD">
      <w:pPr>
        <w:numPr>
          <w:ilvl w:val="0"/>
          <w:numId w:val="6"/>
        </w:numPr>
        <w:spacing w:after="0" w:line="240" w:lineRule="auto"/>
        <w:ind w:left="284" w:hanging="142"/>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t xml:space="preserve">Le Président de la Cour Suprême sollicite des offres fermées de la part de candidats éligibles et répondant aux qualifications requises pour la prestation des services suivants : </w:t>
      </w:r>
      <w:r w:rsidRPr="002358FD">
        <w:rPr>
          <w:rFonts w:ascii="Times New Roman" w:eastAsia="Calibri" w:hAnsi="Times New Roman" w:cs="Times New Roman"/>
          <w:bCs/>
          <w:iCs/>
          <w:sz w:val="24"/>
          <w:szCs w:val="24"/>
        </w:rPr>
        <w:t>l’acquisition de matériels de bureau et d’informatique en deux (02) lots</w:t>
      </w:r>
      <w:r w:rsidRPr="002358FD">
        <w:rPr>
          <w:rFonts w:ascii="Times New Roman" w:eastAsia="Calibri" w:hAnsi="Times New Roman" w:cs="Times New Roman"/>
          <w:bCs/>
          <w:sz w:val="24"/>
          <w:szCs w:val="24"/>
        </w:rPr>
        <w:t>.</w:t>
      </w:r>
    </w:p>
    <w:p w14:paraId="248CB5DC" w14:textId="77777777" w:rsidR="002358FD" w:rsidRPr="002358FD" w:rsidRDefault="002358FD" w:rsidP="002358FD">
      <w:pPr>
        <w:numPr>
          <w:ilvl w:val="0"/>
          <w:numId w:val="6"/>
        </w:numPr>
        <w:spacing w:after="0" w:line="240" w:lineRule="auto"/>
        <w:ind w:left="284" w:hanging="142"/>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t>La passation du Marché sera conduite par Appel d’offres ouvert tel que défini dans le Code des Marchés publics à l’article 50 et ouvert à tous les candidats éligibles.</w:t>
      </w:r>
    </w:p>
    <w:p w14:paraId="452986D9" w14:textId="77777777" w:rsidR="002358FD" w:rsidRPr="002358FD" w:rsidRDefault="002358FD" w:rsidP="002358FD">
      <w:pPr>
        <w:numPr>
          <w:ilvl w:val="0"/>
          <w:numId w:val="6"/>
        </w:numPr>
        <w:spacing w:after="0" w:line="240" w:lineRule="auto"/>
        <w:ind w:left="284" w:hanging="142"/>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t>Les candidats intéressés peuvent obtenir des informations auprès du Gestionnaire de la Cour Suprême à Banankabougou Bollé et prendre connaissance des documents d’Appel d’offres à l’adresse mentionnée ci-après Service Financier de la Cour Suprême à Banankabougou Bollé de 7 heures 30 minutes à 16 heures</w:t>
      </w:r>
      <w:r w:rsidRPr="002358FD">
        <w:rPr>
          <w:rFonts w:ascii="Times New Roman" w:eastAsia="Calibri" w:hAnsi="Times New Roman" w:cs="Times New Roman"/>
          <w:bCs/>
          <w:i/>
          <w:sz w:val="24"/>
          <w:szCs w:val="24"/>
        </w:rPr>
        <w:t xml:space="preserve"> 00 minute</w:t>
      </w:r>
      <w:r w:rsidRPr="002358FD">
        <w:rPr>
          <w:rFonts w:ascii="Times New Roman" w:eastAsia="Calibri" w:hAnsi="Times New Roman" w:cs="Times New Roman"/>
          <w:bCs/>
          <w:sz w:val="24"/>
          <w:szCs w:val="24"/>
        </w:rPr>
        <w:t>.</w:t>
      </w:r>
    </w:p>
    <w:p w14:paraId="65270913" w14:textId="77777777" w:rsidR="002358FD" w:rsidRPr="002358FD" w:rsidRDefault="002358FD" w:rsidP="002358FD">
      <w:pPr>
        <w:numPr>
          <w:ilvl w:val="0"/>
          <w:numId w:val="6"/>
        </w:numPr>
        <w:spacing w:after="0" w:line="240" w:lineRule="auto"/>
        <w:ind w:left="284" w:hanging="142"/>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t xml:space="preserve">Les exigences en matière de qualifications sont : </w:t>
      </w:r>
    </w:p>
    <w:p w14:paraId="2593FA5E" w14:textId="77777777" w:rsidR="002358FD" w:rsidRPr="002358FD" w:rsidRDefault="002358FD" w:rsidP="002358FD">
      <w:pPr>
        <w:spacing w:after="0" w:line="240" w:lineRule="auto"/>
        <w:jc w:val="both"/>
        <w:rPr>
          <w:rFonts w:ascii="Times New Roman" w:eastAsia="Calibri" w:hAnsi="Times New Roman" w:cs="Times New Roman"/>
          <w:bCs/>
          <w:sz w:val="24"/>
          <w:szCs w:val="24"/>
        </w:rPr>
      </w:pPr>
    </w:p>
    <w:p w14:paraId="38F8A12B" w14:textId="77777777" w:rsidR="002358FD" w:rsidRPr="002358FD" w:rsidRDefault="002358FD" w:rsidP="002358FD">
      <w:pPr>
        <w:numPr>
          <w:ilvl w:val="0"/>
          <w:numId w:val="10"/>
        </w:numPr>
        <w:spacing w:after="0" w:line="240" w:lineRule="auto"/>
        <w:ind w:left="567" w:hanging="283"/>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t>Etats financiers (bilans, extraits de bilan ou comptes d’exploitation) de 2022, 2023 et 2024 certifiés par un expert-comptable agrée ou attestés par un comptable agrée inscrit à l’ordre et sur lesdits bilans doit figurer la mention suivante « bilans ou extraits de bilans certifiés conformes aux déclarations souscrites au service des impôts, apposée par le service des impôts compétent » ;</w:t>
      </w:r>
    </w:p>
    <w:p w14:paraId="354BD13A" w14:textId="77777777" w:rsidR="002358FD" w:rsidRPr="002358FD" w:rsidRDefault="002358FD" w:rsidP="002358FD">
      <w:pPr>
        <w:spacing w:after="0" w:line="240" w:lineRule="auto"/>
        <w:ind w:left="567" w:hanging="283"/>
        <w:jc w:val="both"/>
        <w:rPr>
          <w:rFonts w:ascii="Times New Roman" w:eastAsia="Calibri" w:hAnsi="Times New Roman" w:cs="Times New Roman"/>
          <w:bCs/>
          <w:sz w:val="24"/>
          <w:szCs w:val="24"/>
        </w:rPr>
      </w:pPr>
    </w:p>
    <w:p w14:paraId="38A67969" w14:textId="77777777" w:rsidR="002358FD" w:rsidRPr="002358FD" w:rsidRDefault="002358FD" w:rsidP="002358FD">
      <w:pPr>
        <w:numPr>
          <w:ilvl w:val="0"/>
          <w:numId w:val="10"/>
        </w:numPr>
        <w:spacing w:after="0" w:line="240" w:lineRule="auto"/>
        <w:ind w:left="567" w:hanging="283"/>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t>Chiffres d’affaires moyens des années 2022 ; 2023 et 2024 au moins égal à l’offre ;</w:t>
      </w:r>
    </w:p>
    <w:p w14:paraId="658C74BA" w14:textId="77777777" w:rsidR="002358FD" w:rsidRPr="002358FD" w:rsidRDefault="002358FD" w:rsidP="002358FD">
      <w:pPr>
        <w:spacing w:after="0" w:line="240" w:lineRule="auto"/>
        <w:ind w:left="567" w:hanging="283"/>
        <w:jc w:val="both"/>
        <w:rPr>
          <w:rFonts w:ascii="Times New Roman" w:eastAsia="Calibri" w:hAnsi="Times New Roman" w:cs="Times New Roman"/>
          <w:bCs/>
          <w:sz w:val="24"/>
          <w:szCs w:val="24"/>
        </w:rPr>
      </w:pPr>
    </w:p>
    <w:p w14:paraId="5866FDA1" w14:textId="77777777" w:rsidR="002358FD" w:rsidRPr="002358FD" w:rsidRDefault="002358FD" w:rsidP="002358FD">
      <w:pPr>
        <w:numPr>
          <w:ilvl w:val="0"/>
          <w:numId w:val="10"/>
        </w:numPr>
        <w:spacing w:after="0" w:line="240" w:lineRule="auto"/>
        <w:ind w:left="567" w:hanging="283"/>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t>Pour les sociétés nouvellement créées et dont la date d’établissement du premier bilan n’est pas arrivée à la date de dépôts des offres : Elles sont dispensées de la présentation des états financiers et la preuve des expériences similaires. Toutefois, pour l’appréciation des expériences, la candidature de ces sociétés sera examinée au regard des capacités professionnelles et techniques par le biais des expériences et références de leurs dirigeants ou collaborateurs. Pour apprécier leurs capacités financières, elles doivent fournir une attestation bancaire de ligne de crédit bancaire ou de disponibilité de fonds d’un montant au moins égal au montant de l’offre ;</w:t>
      </w:r>
    </w:p>
    <w:p w14:paraId="021CDF36" w14:textId="77777777" w:rsidR="002358FD" w:rsidRPr="002358FD" w:rsidRDefault="002358FD" w:rsidP="002358FD">
      <w:pPr>
        <w:spacing w:after="0" w:line="240" w:lineRule="auto"/>
        <w:ind w:left="567" w:hanging="283"/>
        <w:jc w:val="both"/>
        <w:rPr>
          <w:rFonts w:ascii="Times New Roman" w:eastAsia="Calibri" w:hAnsi="Times New Roman" w:cs="Times New Roman"/>
          <w:bCs/>
          <w:sz w:val="24"/>
          <w:szCs w:val="24"/>
        </w:rPr>
      </w:pPr>
    </w:p>
    <w:p w14:paraId="28ABC64D" w14:textId="77777777" w:rsidR="002358FD" w:rsidRPr="002358FD" w:rsidRDefault="002358FD" w:rsidP="002358FD">
      <w:pPr>
        <w:numPr>
          <w:ilvl w:val="0"/>
          <w:numId w:val="10"/>
        </w:numPr>
        <w:spacing w:after="0" w:line="240" w:lineRule="auto"/>
        <w:ind w:left="567" w:hanging="283"/>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t>Pour les sociétés dont la date de création ou du début d’activité ne leur permet que de fournir un ou deux états financiers, doivent en plus des états financiers fournis, donner une attestation bancaire de ligne de crédit ou de disponibilité de fonds au moins égal à 30% du montant de l’offre. Pour l’appréciation de leurs expériences, ces sociétés doivent fournir la preuve d’avoir réalisé au moins un marché similaire ;</w:t>
      </w:r>
    </w:p>
    <w:p w14:paraId="60E34DD7" w14:textId="77777777" w:rsidR="002358FD" w:rsidRPr="002358FD" w:rsidRDefault="002358FD" w:rsidP="002358FD">
      <w:pPr>
        <w:spacing w:after="0" w:line="240" w:lineRule="auto"/>
        <w:ind w:left="567" w:hanging="283"/>
        <w:jc w:val="both"/>
        <w:rPr>
          <w:rFonts w:ascii="Times New Roman" w:eastAsia="Calibri" w:hAnsi="Times New Roman" w:cs="Times New Roman"/>
          <w:bCs/>
          <w:sz w:val="24"/>
          <w:szCs w:val="24"/>
        </w:rPr>
      </w:pPr>
    </w:p>
    <w:p w14:paraId="0B2E2818" w14:textId="77777777" w:rsidR="002358FD" w:rsidRPr="002358FD" w:rsidRDefault="002358FD" w:rsidP="002358FD">
      <w:pPr>
        <w:numPr>
          <w:ilvl w:val="0"/>
          <w:numId w:val="11"/>
        </w:numPr>
        <w:spacing w:after="0" w:line="240" w:lineRule="auto"/>
        <w:ind w:left="567" w:hanging="283"/>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lastRenderedPageBreak/>
        <w:t>Le Soumissionnaire doit prouver, documentation à l’appui, qu’il satisfait aux exigences d’expérience ci-après : fournir au moins deux (02) marchés similaires (2022 à 2025) par lot attestés soit par les attestations de bonne exécution, soit par les attestations de services bien faits accompagnés des copies des pages de garde et signature des marchés correspondants ;</w:t>
      </w:r>
    </w:p>
    <w:p w14:paraId="04C4E548" w14:textId="77777777" w:rsidR="002358FD" w:rsidRPr="002358FD" w:rsidRDefault="002358FD" w:rsidP="002358FD">
      <w:pPr>
        <w:spacing w:after="0" w:line="240" w:lineRule="auto"/>
        <w:ind w:left="567" w:hanging="283"/>
        <w:jc w:val="both"/>
        <w:rPr>
          <w:rFonts w:ascii="Times New Roman" w:eastAsia="Calibri" w:hAnsi="Times New Roman" w:cs="Times New Roman"/>
          <w:bCs/>
          <w:sz w:val="24"/>
          <w:szCs w:val="24"/>
        </w:rPr>
      </w:pPr>
    </w:p>
    <w:p w14:paraId="109CB65A" w14:textId="20C52728" w:rsidR="002358FD" w:rsidRPr="002358FD" w:rsidRDefault="002358FD" w:rsidP="002358FD">
      <w:pPr>
        <w:numPr>
          <w:ilvl w:val="0"/>
          <w:numId w:val="11"/>
        </w:numPr>
        <w:spacing w:after="0" w:line="240" w:lineRule="auto"/>
        <w:ind w:left="567" w:hanging="283"/>
        <w:jc w:val="both"/>
        <w:rPr>
          <w:rFonts w:ascii="Times New Roman" w:eastAsia="Calibri" w:hAnsi="Times New Roman" w:cs="Times New Roman"/>
          <w:bCs/>
          <w:sz w:val="24"/>
          <w:szCs w:val="24"/>
        </w:rPr>
      </w:pPr>
      <w:r w:rsidRPr="002358FD">
        <w:rPr>
          <w:rFonts w:ascii="Times New Roman" w:eastAsia="Calibri" w:hAnsi="Times New Roman" w:cs="Times New Roman"/>
          <w:bCs/>
          <w:sz w:val="24"/>
          <w:szCs w:val="24"/>
        </w:rPr>
        <w:t xml:space="preserve">Le Soumissionnaire devra joindre à son offre les autres documents suivants (en original ou en copie certifiée conforme) en cours de validité : </w:t>
      </w:r>
      <w:r w:rsidRPr="002358FD">
        <w:rPr>
          <w:rFonts w:ascii="Times New Roman" w:eastAsia="Calibri" w:hAnsi="Times New Roman" w:cs="Times New Roman"/>
          <w:b/>
          <w:i/>
          <w:iCs/>
          <w:sz w:val="24"/>
          <w:szCs w:val="24"/>
        </w:rPr>
        <w:t>l’attestation d’inscription au registre du commerce ; le certificat de non faillite ; le quitus fiscal ; la procuration du signataire de la soumission (le cas échéant) ; l’acte de constitution du groupement (le cas échéant).</w:t>
      </w:r>
    </w:p>
    <w:p w14:paraId="6389E58E" w14:textId="77777777" w:rsidR="002358FD" w:rsidRPr="002358FD" w:rsidRDefault="002358FD" w:rsidP="002358FD">
      <w:pPr>
        <w:spacing w:after="0" w:line="240" w:lineRule="auto"/>
        <w:jc w:val="both"/>
        <w:rPr>
          <w:rFonts w:ascii="Times New Roman" w:eastAsia="Calibri" w:hAnsi="Times New Roman" w:cs="Times New Roman"/>
          <w:bCs/>
          <w:i/>
          <w:sz w:val="24"/>
          <w:szCs w:val="24"/>
          <w:u w:val="single"/>
        </w:rPr>
      </w:pPr>
    </w:p>
    <w:p w14:paraId="3C385DF7" w14:textId="77777777" w:rsidR="002358FD" w:rsidRPr="002358FD" w:rsidRDefault="002358FD" w:rsidP="002358FD">
      <w:pPr>
        <w:spacing w:after="0" w:line="240" w:lineRule="auto"/>
        <w:jc w:val="both"/>
        <w:rPr>
          <w:rFonts w:ascii="Times New Roman" w:eastAsia="Calibri" w:hAnsi="Times New Roman" w:cs="Times New Roman"/>
          <w:b/>
          <w:i/>
          <w:sz w:val="24"/>
          <w:szCs w:val="24"/>
        </w:rPr>
      </w:pPr>
      <w:r w:rsidRPr="002358FD">
        <w:rPr>
          <w:rFonts w:ascii="Times New Roman" w:eastAsia="Calibri" w:hAnsi="Times New Roman" w:cs="Times New Roman"/>
          <w:b/>
          <w:i/>
          <w:sz w:val="24"/>
          <w:szCs w:val="24"/>
          <w:u w:val="single"/>
        </w:rPr>
        <w:t>NB :</w:t>
      </w:r>
      <w:r w:rsidRPr="002358FD">
        <w:rPr>
          <w:rFonts w:ascii="Times New Roman" w:eastAsia="Calibri" w:hAnsi="Times New Roman" w:cs="Times New Roman"/>
          <w:b/>
          <w:i/>
          <w:sz w:val="24"/>
          <w:szCs w:val="24"/>
        </w:rPr>
        <w:t xml:space="preserve"> la non fourniture ou la fourniture non conforme d’une de ces pièces citées </w:t>
      </w:r>
    </w:p>
    <w:p w14:paraId="59799D5A" w14:textId="77777777" w:rsidR="002358FD" w:rsidRPr="002358FD" w:rsidRDefault="002358FD" w:rsidP="002358FD">
      <w:pPr>
        <w:spacing w:after="0" w:line="240" w:lineRule="auto"/>
        <w:jc w:val="both"/>
        <w:rPr>
          <w:rFonts w:ascii="Times New Roman" w:eastAsia="Calibri" w:hAnsi="Times New Roman" w:cs="Times New Roman"/>
          <w:b/>
          <w:i/>
          <w:sz w:val="24"/>
          <w:szCs w:val="24"/>
        </w:rPr>
      </w:pPr>
      <w:r w:rsidRPr="002358FD">
        <w:rPr>
          <w:rFonts w:ascii="Times New Roman" w:eastAsia="Calibri" w:hAnsi="Times New Roman" w:cs="Times New Roman"/>
          <w:b/>
          <w:i/>
          <w:sz w:val="24"/>
          <w:szCs w:val="24"/>
        </w:rPr>
        <w:t>ci-dessus entrainera le rejet de l’offre.</w:t>
      </w:r>
    </w:p>
    <w:p w14:paraId="2996709F" w14:textId="77777777" w:rsidR="002358FD" w:rsidRPr="002358FD" w:rsidRDefault="002358FD" w:rsidP="002358FD">
      <w:pPr>
        <w:spacing w:after="0" w:line="240" w:lineRule="auto"/>
        <w:jc w:val="both"/>
        <w:rPr>
          <w:rFonts w:ascii="Times New Roman" w:eastAsia="Calibri" w:hAnsi="Times New Roman" w:cs="Times New Roman"/>
          <w:bCs/>
          <w:i/>
          <w:sz w:val="24"/>
          <w:szCs w:val="24"/>
        </w:rPr>
      </w:pPr>
    </w:p>
    <w:p w14:paraId="4698072B" w14:textId="2F73E98B" w:rsidR="002358FD" w:rsidRPr="002358FD" w:rsidRDefault="002358FD" w:rsidP="002358FD">
      <w:pPr>
        <w:spacing w:after="0" w:line="240" w:lineRule="auto"/>
        <w:jc w:val="both"/>
        <w:rPr>
          <w:rFonts w:ascii="Times New Roman" w:eastAsia="Calibri" w:hAnsi="Times New Roman" w:cs="Times New Roman"/>
          <w:bCs/>
          <w:i/>
          <w:sz w:val="24"/>
          <w:szCs w:val="24"/>
        </w:rPr>
      </w:pPr>
      <w:r w:rsidRPr="002358FD">
        <w:rPr>
          <w:rFonts w:ascii="Times New Roman" w:eastAsia="Calibri" w:hAnsi="Times New Roman" w:cs="Times New Roman"/>
          <w:bCs/>
          <w:iCs/>
          <w:sz w:val="24"/>
          <w:szCs w:val="24"/>
        </w:rPr>
        <w:t>L’attributaire provisoire du marché doit obligatoirement fournir dans un délai de deux (02) jours ouvrables, les pièces ci-après :</w:t>
      </w:r>
      <w:r w:rsidRPr="002358FD">
        <w:rPr>
          <w:rFonts w:ascii="Times New Roman" w:eastAsia="Calibri" w:hAnsi="Times New Roman" w:cs="Times New Roman"/>
          <w:bCs/>
          <w:i/>
          <w:sz w:val="24"/>
          <w:szCs w:val="24"/>
        </w:rPr>
        <w:t xml:space="preserve"> </w:t>
      </w:r>
      <w:r w:rsidRPr="002358FD">
        <w:rPr>
          <w:rFonts w:ascii="Times New Roman" w:eastAsia="Calibri" w:hAnsi="Times New Roman" w:cs="Times New Roman"/>
          <w:b/>
          <w:i/>
          <w:sz w:val="24"/>
          <w:szCs w:val="24"/>
        </w:rPr>
        <w:t>Statuts ; Carte d’identification fiscale ; Attestation de l’institut National de Prévoyance Social (INPS) ; Attestation de l’Office Malien de l’Habitat (OMH).</w:t>
      </w:r>
    </w:p>
    <w:p w14:paraId="55C9CFD7" w14:textId="77777777" w:rsidR="002358FD" w:rsidRPr="002358FD" w:rsidRDefault="002358FD" w:rsidP="002358FD">
      <w:pPr>
        <w:spacing w:after="0" w:line="240" w:lineRule="auto"/>
        <w:jc w:val="both"/>
        <w:rPr>
          <w:rFonts w:ascii="Times New Roman" w:eastAsia="Calibri" w:hAnsi="Times New Roman" w:cs="Times New Roman"/>
          <w:bCs/>
          <w:i/>
          <w:sz w:val="24"/>
          <w:szCs w:val="24"/>
        </w:rPr>
      </w:pPr>
    </w:p>
    <w:p w14:paraId="3A374D30" w14:textId="77777777" w:rsidR="002358FD" w:rsidRPr="002358FD" w:rsidRDefault="002358FD" w:rsidP="002358FD">
      <w:pPr>
        <w:spacing w:after="0" w:line="240" w:lineRule="auto"/>
        <w:jc w:val="both"/>
        <w:rPr>
          <w:rFonts w:ascii="Times New Roman" w:eastAsia="Calibri" w:hAnsi="Times New Roman" w:cs="Times New Roman"/>
          <w:b/>
          <w:sz w:val="24"/>
          <w:szCs w:val="24"/>
        </w:rPr>
      </w:pPr>
      <w:r w:rsidRPr="002358FD">
        <w:rPr>
          <w:rFonts w:ascii="Times New Roman" w:eastAsia="Calibri" w:hAnsi="Times New Roman" w:cs="Times New Roman"/>
          <w:b/>
          <w:sz w:val="24"/>
          <w:szCs w:val="24"/>
        </w:rPr>
        <w:t>Voir les DPAO pour les informations détaillées.</w:t>
      </w:r>
    </w:p>
    <w:p w14:paraId="090F24CC" w14:textId="77777777" w:rsidR="00FF43EB" w:rsidRPr="00681DE7" w:rsidRDefault="00FF43EB" w:rsidP="00FF43EB">
      <w:pPr>
        <w:pStyle w:val="Paragraphedeliste"/>
        <w:jc w:val="both"/>
        <w:rPr>
          <w:rFonts w:ascii="Times New Roman" w:hAnsi="Times New Roman" w:cs="Times New Roman"/>
          <w:sz w:val="24"/>
          <w:szCs w:val="24"/>
        </w:rPr>
      </w:pPr>
    </w:p>
    <w:p w14:paraId="25035FE2" w14:textId="02A590A8" w:rsidR="00FF43EB" w:rsidRPr="00FF43EB" w:rsidRDefault="00FF43EB" w:rsidP="00FF43EB">
      <w:pPr>
        <w:pStyle w:val="Paragraphedeliste"/>
        <w:numPr>
          <w:ilvl w:val="0"/>
          <w:numId w:val="6"/>
        </w:numPr>
        <w:ind w:left="142" w:hanging="142"/>
        <w:jc w:val="both"/>
        <w:rPr>
          <w:rFonts w:ascii="Times New Roman" w:hAnsi="Times New Roman" w:cs="Times New Roman"/>
          <w:sz w:val="24"/>
          <w:szCs w:val="24"/>
        </w:rPr>
      </w:pPr>
      <w:r w:rsidRPr="00FF43EB">
        <w:rPr>
          <w:rFonts w:ascii="Times New Roman" w:hAnsi="Times New Roman" w:cs="Times New Roman"/>
          <w:sz w:val="24"/>
          <w:szCs w:val="24"/>
        </w:rPr>
        <w:t>Les candidats intéressés peuvent consulter gratuitement le dossier d’Appel d’offres complet ou le retirer à titre onéreux contre paiement</w:t>
      </w:r>
      <w:r w:rsidRPr="00681DE7">
        <w:rPr>
          <w:rStyle w:val="Appelnotedebasdep"/>
          <w:sz w:val="24"/>
          <w:szCs w:val="24"/>
        </w:rPr>
        <w:footnoteReference w:id="1"/>
      </w:r>
      <w:r w:rsidRPr="00FF43EB">
        <w:rPr>
          <w:rFonts w:ascii="Times New Roman" w:hAnsi="Times New Roman" w:cs="Times New Roman"/>
          <w:sz w:val="24"/>
          <w:szCs w:val="24"/>
        </w:rPr>
        <w:t xml:space="preserve">  d’une somme non remboursable de </w:t>
      </w:r>
      <w:r w:rsidRPr="00FF43EB">
        <w:rPr>
          <w:rFonts w:ascii="Times New Roman" w:eastAsia="Times New Roman" w:hAnsi="Times New Roman" w:cs="Times New Roman"/>
          <w:b/>
          <w:bCs/>
          <w:iCs/>
          <w:sz w:val="24"/>
          <w:szCs w:val="24"/>
        </w:rPr>
        <w:t>Cent mille</w:t>
      </w:r>
      <w:r w:rsidRPr="00FF43EB">
        <w:rPr>
          <w:rFonts w:ascii="Times New Roman" w:eastAsia="Times New Roman" w:hAnsi="Times New Roman" w:cs="Times New Roman"/>
          <w:iCs/>
          <w:sz w:val="24"/>
          <w:szCs w:val="24"/>
        </w:rPr>
        <w:t xml:space="preserve"> (100 000)</w:t>
      </w:r>
      <w:r w:rsidRPr="00FF43EB">
        <w:rPr>
          <w:rFonts w:ascii="Times New Roman" w:eastAsia="Times New Roman" w:hAnsi="Times New Roman" w:cs="Times New Roman"/>
          <w:i/>
          <w:sz w:val="24"/>
          <w:szCs w:val="24"/>
        </w:rPr>
        <w:t xml:space="preserve"> </w:t>
      </w:r>
      <w:r w:rsidRPr="00FF43EB">
        <w:rPr>
          <w:rFonts w:ascii="Times New Roman" w:eastAsia="Times New Roman" w:hAnsi="Times New Roman" w:cs="Times New Roman"/>
          <w:b/>
          <w:bCs/>
          <w:iCs/>
          <w:sz w:val="24"/>
          <w:szCs w:val="24"/>
        </w:rPr>
        <w:t>F.CFA</w:t>
      </w:r>
      <w:r w:rsidRPr="00FF43EB">
        <w:rPr>
          <w:rFonts w:ascii="Times New Roman" w:hAnsi="Times New Roman" w:cs="Times New Roman"/>
          <w:sz w:val="24"/>
          <w:szCs w:val="24"/>
        </w:rPr>
        <w:t xml:space="preserve"> à l’adresse mentionnée ci-après </w:t>
      </w:r>
      <w:r w:rsidRPr="00FF43EB">
        <w:rPr>
          <w:rFonts w:ascii="Times New Roman" w:eastAsia="Times New Roman" w:hAnsi="Times New Roman" w:cs="Times New Roman"/>
          <w:iCs/>
          <w:sz w:val="24"/>
          <w:szCs w:val="24"/>
        </w:rPr>
        <w:t>bureau du Gestionnaire de la Cour Suprême</w:t>
      </w:r>
      <w:r w:rsidRPr="00FF43EB">
        <w:rPr>
          <w:rFonts w:ascii="Times New Roman" w:hAnsi="Times New Roman" w:cs="Times New Roman"/>
          <w:sz w:val="24"/>
          <w:szCs w:val="24"/>
        </w:rPr>
        <w:t>. La méthode de paiement sera en espèce. Le Dossier d’Appel d’offres sera adressé par courrier électronique ou retiré au Service Financier de la Cour Suprême</w:t>
      </w:r>
      <w:r w:rsidRPr="00FF43EB">
        <w:rPr>
          <w:rFonts w:ascii="Times New Roman" w:hAnsi="Times New Roman" w:cs="Times New Roman"/>
          <w:i/>
          <w:sz w:val="24"/>
          <w:szCs w:val="24"/>
        </w:rPr>
        <w:t>.</w:t>
      </w:r>
    </w:p>
    <w:p w14:paraId="0D82164E" w14:textId="775CC858" w:rsidR="00FF43EB" w:rsidRPr="00681DE7" w:rsidRDefault="00FF43EB" w:rsidP="00FF43EB">
      <w:pPr>
        <w:pStyle w:val="Paragraphedeliste"/>
        <w:numPr>
          <w:ilvl w:val="0"/>
          <w:numId w:val="6"/>
        </w:numPr>
        <w:ind w:left="142" w:hanging="142"/>
        <w:jc w:val="both"/>
        <w:rPr>
          <w:rFonts w:ascii="Times New Roman" w:hAnsi="Times New Roman" w:cs="Times New Roman"/>
          <w:sz w:val="24"/>
          <w:szCs w:val="24"/>
        </w:rPr>
      </w:pPr>
      <w:r w:rsidRPr="00681DE7">
        <w:rPr>
          <w:rFonts w:ascii="Times New Roman" w:hAnsi="Times New Roman" w:cs="Times New Roman"/>
          <w:sz w:val="24"/>
          <w:szCs w:val="24"/>
        </w:rPr>
        <w:t xml:space="preserve">Les offres devront être soumises à l’adresse ci-après </w:t>
      </w:r>
      <w:r w:rsidRPr="00817B65">
        <w:rPr>
          <w:rFonts w:ascii="Times New Roman" w:eastAsia="Times New Roman" w:hAnsi="Times New Roman" w:cs="Times New Roman"/>
          <w:iCs/>
          <w:sz w:val="24"/>
          <w:szCs w:val="24"/>
        </w:rPr>
        <w:t xml:space="preserve">Secrétariat particulier du Gestionnaire au plus tard le </w:t>
      </w:r>
      <w:r>
        <w:rPr>
          <w:rFonts w:ascii="Times New Roman" w:eastAsia="Times New Roman" w:hAnsi="Times New Roman" w:cs="Times New Roman"/>
          <w:b/>
          <w:bCs/>
          <w:sz w:val="24"/>
          <w:szCs w:val="24"/>
        </w:rPr>
        <w:t>1</w:t>
      </w:r>
      <w:r w:rsidR="00A32311">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/10/ 2026</w:t>
      </w:r>
      <w:r w:rsidRPr="00740A2E">
        <w:rPr>
          <w:rFonts w:ascii="Times New Roman" w:eastAsia="Times New Roman" w:hAnsi="Times New Roman" w:cs="Times New Roman"/>
          <w:b/>
          <w:bCs/>
          <w:i/>
          <w:sz w:val="24"/>
          <w:szCs w:val="24"/>
        </w:rPr>
        <w:t xml:space="preserve"> à 10 heures 00 mn</w:t>
      </w:r>
      <w:r w:rsidRPr="00681DE7">
        <w:rPr>
          <w:rFonts w:ascii="Times New Roman" w:hAnsi="Times New Roman" w:cs="Times New Roman"/>
          <w:sz w:val="24"/>
          <w:szCs w:val="24"/>
        </w:rPr>
        <w:t>. Les offres remises en retard ne seront pas acceptées.</w:t>
      </w:r>
    </w:p>
    <w:p w14:paraId="529E6076" w14:textId="77777777" w:rsidR="00FF43EB" w:rsidRPr="00681DE7" w:rsidRDefault="00FF43EB" w:rsidP="00FF43EB">
      <w:pPr>
        <w:pStyle w:val="Paragraphedeliste"/>
        <w:numPr>
          <w:ilvl w:val="0"/>
          <w:numId w:val="6"/>
        </w:numPr>
        <w:ind w:left="142" w:hanging="142"/>
        <w:jc w:val="both"/>
        <w:rPr>
          <w:rFonts w:ascii="Times New Roman" w:hAnsi="Times New Roman" w:cs="Times New Roman"/>
          <w:sz w:val="24"/>
          <w:szCs w:val="24"/>
        </w:rPr>
      </w:pPr>
      <w:r w:rsidRPr="00681DE7">
        <w:rPr>
          <w:rFonts w:ascii="Times New Roman" w:hAnsi="Times New Roman" w:cs="Times New Roman"/>
          <w:sz w:val="24"/>
          <w:szCs w:val="24"/>
        </w:rPr>
        <w:t xml:space="preserve">Les offres doivent comprendre une garantie de soumission, </w:t>
      </w:r>
      <w:r w:rsidRPr="00FF43EB">
        <w:rPr>
          <w:rFonts w:ascii="Times New Roman" w:hAnsi="Times New Roman" w:cs="Times New Roman"/>
          <w:sz w:val="24"/>
          <w:szCs w:val="24"/>
        </w:rPr>
        <w:t>d’un montant</w:t>
      </w:r>
      <w:r w:rsidRPr="00817B65">
        <w:rPr>
          <w:rFonts w:ascii="Times New Roman" w:hAnsi="Times New Roman" w:cs="Times New Roman"/>
          <w:b/>
          <w:bCs/>
          <w:sz w:val="24"/>
          <w:szCs w:val="24"/>
        </w:rPr>
        <w:t xml:space="preserve"> </w:t>
      </w:r>
      <w:r w:rsidRPr="00FF43EB">
        <w:rPr>
          <w:rFonts w:ascii="Times New Roman" w:hAnsi="Times New Roman" w:cs="Times New Roman"/>
          <w:sz w:val="24"/>
          <w:szCs w:val="24"/>
        </w:rPr>
        <w:t>d’</w:t>
      </w:r>
      <w:r w:rsidRPr="00817B65">
        <w:rPr>
          <w:rFonts w:ascii="Times New Roman" w:hAnsi="Times New Roman" w:cs="Times New Roman"/>
          <w:b/>
          <w:bCs/>
          <w:sz w:val="24"/>
          <w:szCs w:val="24"/>
        </w:rPr>
        <w:t>un million</w:t>
      </w:r>
      <w:r>
        <w:rPr>
          <w:rFonts w:ascii="Times New Roman" w:hAnsi="Times New Roman" w:cs="Times New Roman"/>
          <w:b/>
          <w:bCs/>
          <w:sz w:val="24"/>
          <w:szCs w:val="24"/>
        </w:rPr>
        <w:t xml:space="preserve"> </w:t>
      </w:r>
      <w:r>
        <w:rPr>
          <w:rFonts w:ascii="Times New Roman" w:hAnsi="Times New Roman" w:cs="Times New Roman"/>
          <w:sz w:val="24"/>
          <w:szCs w:val="24"/>
        </w:rPr>
        <w:t xml:space="preserve">(1 000 000) </w:t>
      </w:r>
      <w:r w:rsidRPr="00817B65">
        <w:rPr>
          <w:rFonts w:ascii="Times New Roman" w:hAnsi="Times New Roman" w:cs="Times New Roman"/>
          <w:b/>
          <w:bCs/>
          <w:sz w:val="24"/>
          <w:szCs w:val="24"/>
        </w:rPr>
        <w:t>de Francs CFA</w:t>
      </w:r>
      <w:r>
        <w:rPr>
          <w:rFonts w:ascii="Times New Roman" w:hAnsi="Times New Roman" w:cs="Times New Roman"/>
          <w:sz w:val="24"/>
          <w:szCs w:val="24"/>
        </w:rPr>
        <w:t xml:space="preserve"> </w:t>
      </w:r>
      <w:r w:rsidRPr="00FF43EB">
        <w:rPr>
          <w:rFonts w:ascii="Times New Roman" w:hAnsi="Times New Roman" w:cs="Times New Roman"/>
          <w:b/>
          <w:bCs/>
          <w:sz w:val="24"/>
          <w:szCs w:val="24"/>
        </w:rPr>
        <w:t>par lot</w:t>
      </w:r>
      <w:r w:rsidRPr="00681DE7">
        <w:rPr>
          <w:rFonts w:ascii="Times New Roman" w:hAnsi="Times New Roman" w:cs="Times New Roman"/>
          <w:sz w:val="24"/>
          <w:szCs w:val="24"/>
        </w:rPr>
        <w:t xml:space="preserve"> conformément à l’article 69 du Code des marchés publics.</w:t>
      </w:r>
    </w:p>
    <w:p w14:paraId="20E77C90" w14:textId="77777777" w:rsidR="00FF43EB" w:rsidRDefault="00FF43EB" w:rsidP="00FF43EB">
      <w:pPr>
        <w:pStyle w:val="Paragraphedeliste"/>
        <w:numPr>
          <w:ilvl w:val="0"/>
          <w:numId w:val="6"/>
        </w:numPr>
        <w:ind w:left="142" w:hanging="142"/>
        <w:jc w:val="both"/>
        <w:rPr>
          <w:rFonts w:ascii="Times New Roman" w:hAnsi="Times New Roman" w:cs="Times New Roman"/>
          <w:sz w:val="24"/>
          <w:szCs w:val="24"/>
        </w:rPr>
      </w:pPr>
      <w:r w:rsidRPr="00681DE7">
        <w:rPr>
          <w:rFonts w:ascii="Times New Roman" w:hAnsi="Times New Roman" w:cs="Times New Roman"/>
          <w:sz w:val="24"/>
          <w:szCs w:val="24"/>
        </w:rPr>
        <w:t xml:space="preserve">Les Soumissionnaires resteront engagés par leur offre pendant une période de </w:t>
      </w:r>
      <w:r>
        <w:rPr>
          <w:rFonts w:ascii="Times New Roman" w:hAnsi="Times New Roman" w:cs="Times New Roman"/>
          <w:sz w:val="24"/>
          <w:szCs w:val="24"/>
        </w:rPr>
        <w:t>quatre-vingt-dix (90) jour</w:t>
      </w:r>
      <w:r w:rsidRPr="00681DE7">
        <w:rPr>
          <w:rFonts w:ascii="Times New Roman" w:hAnsi="Times New Roman" w:cs="Times New Roman"/>
          <w:sz w:val="24"/>
          <w:szCs w:val="24"/>
        </w:rPr>
        <w:t xml:space="preserve"> à compter de la date limite du dépôt des offres comme spécifié au point 19.1 des IC et aux DPAO.</w:t>
      </w:r>
    </w:p>
    <w:p w14:paraId="6BA27727" w14:textId="42CB2940" w:rsidR="00FF43EB" w:rsidRPr="00681DE7" w:rsidRDefault="00FF43EB" w:rsidP="00FF43EB">
      <w:pPr>
        <w:pStyle w:val="Paragraphedeliste"/>
        <w:numPr>
          <w:ilvl w:val="0"/>
          <w:numId w:val="6"/>
        </w:numPr>
        <w:ind w:left="142" w:hanging="142"/>
        <w:jc w:val="both"/>
        <w:rPr>
          <w:rFonts w:ascii="Times New Roman" w:hAnsi="Times New Roman" w:cs="Times New Roman"/>
          <w:sz w:val="24"/>
          <w:szCs w:val="24"/>
        </w:rPr>
      </w:pPr>
      <w:r w:rsidRPr="00681DE7">
        <w:rPr>
          <w:rFonts w:ascii="Times New Roman" w:hAnsi="Times New Roman" w:cs="Times New Roman"/>
          <w:sz w:val="24"/>
          <w:szCs w:val="24"/>
        </w:rPr>
        <w:t xml:space="preserve">Les offres seront ouvertes en présence des représentants des soumissionnaires qui souhaitent assister à l’ouverture des plis le </w:t>
      </w:r>
      <w:r>
        <w:rPr>
          <w:rFonts w:ascii="Times New Roman" w:eastAsia="Times New Roman" w:hAnsi="Times New Roman" w:cs="Times New Roman"/>
          <w:b/>
          <w:bCs/>
          <w:sz w:val="24"/>
          <w:szCs w:val="24"/>
        </w:rPr>
        <w:t>1</w:t>
      </w:r>
      <w:r w:rsidR="00A32311">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/10/ 2026</w:t>
      </w:r>
      <w:r w:rsidRPr="00740A2E">
        <w:rPr>
          <w:rFonts w:ascii="Times New Roman" w:eastAsia="Times New Roman" w:hAnsi="Times New Roman" w:cs="Times New Roman"/>
          <w:b/>
          <w:bCs/>
          <w:i/>
          <w:sz w:val="24"/>
          <w:szCs w:val="24"/>
        </w:rPr>
        <w:t xml:space="preserve"> à 10 heures 00 mn</w:t>
      </w:r>
      <w:r w:rsidRPr="00681DE7">
        <w:rPr>
          <w:rFonts w:ascii="Times New Roman" w:hAnsi="Times New Roman" w:cs="Times New Roman"/>
          <w:sz w:val="24"/>
          <w:szCs w:val="24"/>
        </w:rPr>
        <w:t xml:space="preserve"> à l’adresse suivante : </w:t>
      </w:r>
      <w:r w:rsidRPr="00740A2E">
        <w:rPr>
          <w:rFonts w:ascii="Times New Roman" w:eastAsia="Times New Roman" w:hAnsi="Times New Roman" w:cs="Times New Roman"/>
          <w:sz w:val="24"/>
          <w:szCs w:val="24"/>
        </w:rPr>
        <w:t>au siège de la Cour Suprême Banankabougou Bolé</w:t>
      </w:r>
      <w:r>
        <w:rPr>
          <w:rFonts w:ascii="Times New Roman" w:eastAsia="Times New Roman" w:hAnsi="Times New Roman" w:cs="Times New Roman"/>
          <w:sz w:val="24"/>
          <w:szCs w:val="24"/>
        </w:rPr>
        <w:t>.</w:t>
      </w:r>
    </w:p>
    <w:p w14:paraId="7698FB5B" w14:textId="77777777" w:rsidR="002358FD" w:rsidRPr="002358FD" w:rsidRDefault="002358FD" w:rsidP="002358FD">
      <w:pPr>
        <w:spacing w:after="0" w:line="240" w:lineRule="auto"/>
        <w:jc w:val="both"/>
        <w:rPr>
          <w:rFonts w:ascii="Times New Roman" w:eastAsia="Calibri" w:hAnsi="Times New Roman" w:cs="Times New Roman"/>
          <w:bCs/>
          <w:sz w:val="24"/>
          <w:szCs w:val="24"/>
        </w:rPr>
      </w:pPr>
    </w:p>
    <w:p w14:paraId="14D59564" w14:textId="4D6F1A66" w:rsidR="00CB60DF" w:rsidRPr="002358FD" w:rsidRDefault="002358FD" w:rsidP="00D50FAD">
      <w:pPr>
        <w:spacing w:after="0"/>
        <w:ind w:left="6372"/>
        <w:jc w:val="both"/>
        <w:rPr>
          <w:b/>
        </w:rPr>
      </w:pPr>
      <w:r>
        <w:rPr>
          <w:bCs/>
        </w:rPr>
        <w:t xml:space="preserve">  </w:t>
      </w:r>
      <w:r w:rsidR="00CB60DF" w:rsidRPr="002358FD">
        <w:rPr>
          <w:b/>
        </w:rPr>
        <w:t xml:space="preserve">Bamako, le </w:t>
      </w:r>
      <w:r w:rsidRPr="002358FD">
        <w:rPr>
          <w:b/>
        </w:rPr>
        <w:t>1</w:t>
      </w:r>
      <w:r w:rsidR="00A32311">
        <w:rPr>
          <w:b/>
        </w:rPr>
        <w:t>7</w:t>
      </w:r>
      <w:r w:rsidR="00CC180B" w:rsidRPr="002358FD">
        <w:rPr>
          <w:b/>
        </w:rPr>
        <w:t xml:space="preserve"> </w:t>
      </w:r>
      <w:r w:rsidRPr="002358FD">
        <w:rPr>
          <w:b/>
        </w:rPr>
        <w:t>septembre</w:t>
      </w:r>
      <w:r w:rsidR="00CB60DF" w:rsidRPr="002358FD">
        <w:rPr>
          <w:b/>
        </w:rPr>
        <w:t xml:space="preserve"> 202</w:t>
      </w:r>
      <w:r w:rsidR="00B50E2E" w:rsidRPr="002358FD">
        <w:rPr>
          <w:b/>
        </w:rPr>
        <w:t>6</w:t>
      </w:r>
    </w:p>
    <w:p w14:paraId="60D0E15D" w14:textId="77777777" w:rsidR="00CB60DF" w:rsidRPr="002358FD" w:rsidRDefault="00CB60DF" w:rsidP="00D50FAD">
      <w:pPr>
        <w:spacing w:after="0"/>
        <w:ind w:left="6372"/>
        <w:jc w:val="both"/>
        <w:rPr>
          <w:b/>
          <w:i/>
        </w:rPr>
      </w:pPr>
      <w:r w:rsidRPr="002358FD">
        <w:rPr>
          <w:b/>
          <w:i/>
        </w:rPr>
        <w:t xml:space="preserve">Le Gestionnaire de la Cour Suprême </w:t>
      </w:r>
    </w:p>
    <w:p w14:paraId="486283ED" w14:textId="77777777" w:rsidR="00CB60DF" w:rsidRPr="002358FD" w:rsidRDefault="00CB60DF" w:rsidP="002358FD">
      <w:pPr>
        <w:spacing w:after="0"/>
        <w:jc w:val="both"/>
        <w:rPr>
          <w:b/>
          <w:i/>
        </w:rPr>
      </w:pPr>
      <w:r w:rsidRPr="002358FD">
        <w:rPr>
          <w:b/>
          <w:i/>
        </w:rPr>
        <w:t xml:space="preserve">          </w:t>
      </w:r>
      <w:r w:rsidRPr="002358FD">
        <w:rPr>
          <w:b/>
          <w:i/>
        </w:rPr>
        <w:tab/>
      </w:r>
      <w:r w:rsidRPr="002358FD">
        <w:rPr>
          <w:b/>
          <w:i/>
        </w:rPr>
        <w:tab/>
      </w:r>
      <w:r w:rsidRPr="002358FD">
        <w:rPr>
          <w:b/>
          <w:i/>
        </w:rPr>
        <w:tab/>
      </w:r>
      <w:r w:rsidRPr="002358FD">
        <w:rPr>
          <w:b/>
          <w:i/>
        </w:rPr>
        <w:tab/>
        <w:t xml:space="preserve">               </w:t>
      </w:r>
    </w:p>
    <w:p w14:paraId="7EC226E5" w14:textId="77777777" w:rsidR="00CC180B" w:rsidRPr="002358FD" w:rsidRDefault="00CC180B" w:rsidP="002358FD">
      <w:pPr>
        <w:spacing w:after="0"/>
        <w:jc w:val="both"/>
        <w:rPr>
          <w:b/>
          <w:i/>
        </w:rPr>
      </w:pPr>
    </w:p>
    <w:p w14:paraId="383F45E7" w14:textId="77777777" w:rsidR="002358FD" w:rsidRPr="002358FD" w:rsidRDefault="002358FD" w:rsidP="002358FD">
      <w:pPr>
        <w:spacing w:after="0"/>
        <w:jc w:val="both"/>
        <w:rPr>
          <w:b/>
          <w:i/>
        </w:rPr>
      </w:pPr>
    </w:p>
    <w:p w14:paraId="386B956D" w14:textId="3D59965C" w:rsidR="00CB60DF" w:rsidRPr="002358FD" w:rsidRDefault="00CB60DF" w:rsidP="002358FD">
      <w:pPr>
        <w:spacing w:after="0"/>
        <w:jc w:val="both"/>
        <w:rPr>
          <w:b/>
          <w:iCs/>
        </w:rPr>
      </w:pPr>
      <w:r w:rsidRPr="002358FD">
        <w:rPr>
          <w:b/>
          <w:i/>
        </w:rPr>
        <w:t xml:space="preserve">     </w:t>
      </w:r>
      <w:r w:rsidRPr="002358FD">
        <w:rPr>
          <w:b/>
          <w:i/>
        </w:rPr>
        <w:tab/>
      </w:r>
      <w:r w:rsidRPr="002358FD">
        <w:rPr>
          <w:b/>
          <w:i/>
        </w:rPr>
        <w:tab/>
      </w:r>
      <w:r w:rsidRPr="002358FD">
        <w:rPr>
          <w:b/>
          <w:i/>
        </w:rPr>
        <w:tab/>
      </w:r>
      <w:r w:rsidRPr="002358FD">
        <w:rPr>
          <w:b/>
          <w:i/>
        </w:rPr>
        <w:tab/>
        <w:t xml:space="preserve">                                         </w:t>
      </w:r>
      <w:r w:rsidR="001058B2" w:rsidRPr="002358FD">
        <w:rPr>
          <w:b/>
          <w:i/>
        </w:rPr>
        <w:t xml:space="preserve"> </w:t>
      </w:r>
      <w:r w:rsidR="00CC180B" w:rsidRPr="002358FD">
        <w:rPr>
          <w:b/>
          <w:i/>
        </w:rPr>
        <w:t xml:space="preserve">                        </w:t>
      </w:r>
      <w:r w:rsidR="00D50FAD">
        <w:rPr>
          <w:b/>
          <w:i/>
        </w:rPr>
        <w:t xml:space="preserve">          </w:t>
      </w:r>
      <w:r w:rsidR="001058B2" w:rsidRPr="002358FD">
        <w:rPr>
          <w:b/>
          <w:i/>
        </w:rPr>
        <w:t xml:space="preserve"> </w:t>
      </w:r>
      <w:r w:rsidR="00D50FAD">
        <w:rPr>
          <w:b/>
          <w:i/>
        </w:rPr>
        <w:t xml:space="preserve"> </w:t>
      </w:r>
      <w:r w:rsidR="001058B2" w:rsidRPr="002358FD">
        <w:rPr>
          <w:b/>
          <w:i/>
        </w:rPr>
        <w:t xml:space="preserve">  </w:t>
      </w:r>
      <w:r w:rsidRPr="002358FD">
        <w:rPr>
          <w:b/>
          <w:i/>
        </w:rPr>
        <w:t xml:space="preserve">  </w:t>
      </w:r>
      <w:r w:rsidRPr="002358FD">
        <w:rPr>
          <w:b/>
          <w:iCs/>
          <w:u w:val="single"/>
        </w:rPr>
        <w:t>Abdoul Karim KONE</w:t>
      </w:r>
    </w:p>
    <w:p w14:paraId="51F2FC79" w14:textId="58C54308" w:rsidR="00EE048F" w:rsidRPr="00D50FAD" w:rsidRDefault="00CB60DF" w:rsidP="002358FD">
      <w:pPr>
        <w:spacing w:after="0"/>
        <w:jc w:val="both"/>
        <w:rPr>
          <w:bCs/>
        </w:rPr>
      </w:pPr>
      <w:r w:rsidRPr="002358FD">
        <w:rPr>
          <w:b/>
          <w:i/>
          <w:sz w:val="20"/>
        </w:rPr>
        <w:t xml:space="preserve">                </w:t>
      </w:r>
      <w:r w:rsidRPr="002358FD">
        <w:rPr>
          <w:b/>
          <w:i/>
          <w:sz w:val="20"/>
        </w:rPr>
        <w:tab/>
      </w:r>
      <w:r w:rsidRPr="002358FD">
        <w:rPr>
          <w:b/>
          <w:i/>
          <w:sz w:val="20"/>
        </w:rPr>
        <w:tab/>
      </w:r>
      <w:r w:rsidRPr="002358FD">
        <w:rPr>
          <w:b/>
          <w:i/>
          <w:sz w:val="20"/>
        </w:rPr>
        <w:tab/>
      </w:r>
      <w:r w:rsidRPr="002358FD">
        <w:rPr>
          <w:b/>
          <w:i/>
          <w:sz w:val="20"/>
        </w:rPr>
        <w:tab/>
      </w:r>
      <w:r w:rsidRPr="002358FD">
        <w:rPr>
          <w:b/>
          <w:i/>
          <w:sz w:val="20"/>
        </w:rPr>
        <w:tab/>
        <w:t xml:space="preserve">               </w:t>
      </w:r>
      <w:r w:rsidR="001058B2" w:rsidRPr="002358FD">
        <w:rPr>
          <w:b/>
          <w:i/>
          <w:sz w:val="20"/>
        </w:rPr>
        <w:t xml:space="preserve">   </w:t>
      </w:r>
      <w:r w:rsidR="00CC180B" w:rsidRPr="002358FD">
        <w:rPr>
          <w:b/>
          <w:i/>
          <w:sz w:val="20"/>
        </w:rPr>
        <w:t xml:space="preserve">                    </w:t>
      </w:r>
      <w:r w:rsidR="00D50FAD">
        <w:rPr>
          <w:b/>
          <w:i/>
          <w:sz w:val="20"/>
        </w:rPr>
        <w:t xml:space="preserve">       </w:t>
      </w:r>
      <w:r w:rsidR="00CC180B" w:rsidRPr="002358FD">
        <w:rPr>
          <w:b/>
          <w:i/>
          <w:sz w:val="20"/>
        </w:rPr>
        <w:t xml:space="preserve">  </w:t>
      </w:r>
      <w:r w:rsidR="00D50FAD">
        <w:rPr>
          <w:b/>
          <w:i/>
          <w:sz w:val="20"/>
        </w:rPr>
        <w:t xml:space="preserve">   </w:t>
      </w:r>
      <w:r w:rsidR="00CC180B" w:rsidRPr="002358FD">
        <w:rPr>
          <w:b/>
          <w:i/>
          <w:sz w:val="20"/>
        </w:rPr>
        <w:t xml:space="preserve"> </w:t>
      </w:r>
      <w:r w:rsidRPr="002358FD">
        <w:rPr>
          <w:b/>
          <w:i/>
          <w:sz w:val="20"/>
        </w:rPr>
        <w:t xml:space="preserve"> </w:t>
      </w:r>
      <w:r w:rsidR="00D50FAD">
        <w:rPr>
          <w:b/>
          <w:i/>
          <w:sz w:val="20"/>
        </w:rPr>
        <w:t xml:space="preserve">   </w:t>
      </w:r>
      <w:r w:rsidRPr="00D50FAD">
        <w:rPr>
          <w:bCs/>
          <w:i/>
          <w:sz w:val="20"/>
        </w:rPr>
        <w:t xml:space="preserve">Officier de l’Ordre National </w:t>
      </w:r>
    </w:p>
    <w:sectPr w:rsidR="00EE048F" w:rsidRPr="00D50FAD" w:rsidSect="00FB67DA">
      <w:pgSz w:w="11906" w:h="16838"/>
      <w:pgMar w:top="709" w:right="1133"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1C5C8" w14:textId="77777777" w:rsidR="00866A98" w:rsidRDefault="00866A98" w:rsidP="00CC180B">
      <w:pPr>
        <w:spacing w:after="0" w:line="240" w:lineRule="auto"/>
      </w:pPr>
      <w:r>
        <w:separator/>
      </w:r>
    </w:p>
  </w:endnote>
  <w:endnote w:type="continuationSeparator" w:id="0">
    <w:p w14:paraId="07426920" w14:textId="77777777" w:rsidR="00866A98" w:rsidRDefault="00866A98" w:rsidP="00CC1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E6963" w14:textId="77777777" w:rsidR="00866A98" w:rsidRDefault="00866A98" w:rsidP="00CC180B">
      <w:pPr>
        <w:spacing w:after="0" w:line="240" w:lineRule="auto"/>
      </w:pPr>
      <w:r>
        <w:separator/>
      </w:r>
    </w:p>
  </w:footnote>
  <w:footnote w:type="continuationSeparator" w:id="0">
    <w:p w14:paraId="6CDCFBF3" w14:textId="77777777" w:rsidR="00866A98" w:rsidRDefault="00866A98" w:rsidP="00CC180B">
      <w:pPr>
        <w:spacing w:after="0" w:line="240" w:lineRule="auto"/>
      </w:pPr>
      <w:r>
        <w:continuationSeparator/>
      </w:r>
    </w:p>
  </w:footnote>
  <w:footnote w:id="1">
    <w:p w14:paraId="52C20103" w14:textId="77777777" w:rsidR="00FF43EB" w:rsidRPr="00D03EE9" w:rsidRDefault="00FF43EB" w:rsidP="00FF43EB">
      <w:pPr>
        <w:pStyle w:val="Notedebasdepage"/>
        <w:rPr>
          <w:sz w:val="16"/>
          <w:szCs w:val="16"/>
        </w:rPr>
      </w:pPr>
      <w:r w:rsidRPr="00D03EE9">
        <w:rPr>
          <w:rStyle w:val="Appelnotedebasdep"/>
          <w:sz w:val="16"/>
          <w:szCs w:val="16"/>
        </w:rPr>
        <w:footnoteRef/>
      </w:r>
      <w:r w:rsidRPr="00D03EE9">
        <w:rPr>
          <w:sz w:val="16"/>
          <w:szCs w:val="16"/>
        </w:rPr>
        <w:t xml:space="preserve"> Le prix demandé doit être un juste prix c’est-à-dire destiné à rembourser l’Autorité contractante du coût d’impression du DAO, du courrier et d’acheminement du dossier d’Appel d’offres. Les niveaux du prix ne doivent pas dissuader les candidats de participer à la procédure de mise en concurrence.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A5744"/>
    <w:multiLevelType w:val="hybridMultilevel"/>
    <w:tmpl w:val="0AE8B3C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29ED1FB8"/>
    <w:multiLevelType w:val="hybridMultilevel"/>
    <w:tmpl w:val="63D6667A"/>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34431C2D"/>
    <w:multiLevelType w:val="multilevel"/>
    <w:tmpl w:val="4FCA84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995465D"/>
    <w:multiLevelType w:val="hybridMultilevel"/>
    <w:tmpl w:val="1D767A2E"/>
    <w:lvl w:ilvl="0" w:tplc="01A43A1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CE2755B"/>
    <w:multiLevelType w:val="hybridMultilevel"/>
    <w:tmpl w:val="2F4A9AE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5A2D29E8"/>
    <w:multiLevelType w:val="hybridMultilevel"/>
    <w:tmpl w:val="0AE8B3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7B390A86"/>
    <w:multiLevelType w:val="multilevel"/>
    <w:tmpl w:val="4FCA84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31515053">
    <w:abstractNumId w:val="2"/>
  </w:num>
  <w:num w:numId="2" w16cid:durableId="300574771">
    <w:abstractNumId w:val="4"/>
  </w:num>
  <w:num w:numId="3" w16cid:durableId="28997547">
    <w:abstractNumId w:val="1"/>
  </w:num>
  <w:num w:numId="4" w16cid:durableId="1991514853">
    <w:abstractNumId w:val="6"/>
  </w:num>
  <w:num w:numId="5" w16cid:durableId="911307429">
    <w:abstractNumId w:val="3"/>
  </w:num>
  <w:num w:numId="6" w16cid:durableId="8124526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63198826">
    <w:abstractNumId w:val="4"/>
  </w:num>
  <w:num w:numId="8" w16cid:durableId="46035464">
    <w:abstractNumId w:val="1"/>
  </w:num>
  <w:num w:numId="9" w16cid:durableId="1494950738">
    <w:abstractNumId w:val="3"/>
  </w:num>
  <w:num w:numId="10" w16cid:durableId="1470903467">
    <w:abstractNumId w:val="4"/>
  </w:num>
  <w:num w:numId="11" w16cid:durableId="2006861714">
    <w:abstractNumId w:val="1"/>
  </w:num>
  <w:num w:numId="12" w16cid:durableId="826435513">
    <w:abstractNumId w:val="3"/>
  </w:num>
  <w:num w:numId="13" w16cid:durableId="2126805852">
    <w:abstractNumId w:val="0"/>
  </w:num>
  <w:num w:numId="14" w16cid:durableId="18965015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068"/>
    <w:rsid w:val="0006538F"/>
    <w:rsid w:val="001058B2"/>
    <w:rsid w:val="00151CED"/>
    <w:rsid w:val="00167A6E"/>
    <w:rsid w:val="0021230A"/>
    <w:rsid w:val="002358FD"/>
    <w:rsid w:val="002F0A7C"/>
    <w:rsid w:val="00322958"/>
    <w:rsid w:val="00424A2F"/>
    <w:rsid w:val="00522646"/>
    <w:rsid w:val="00621672"/>
    <w:rsid w:val="00734599"/>
    <w:rsid w:val="007440E3"/>
    <w:rsid w:val="00866A98"/>
    <w:rsid w:val="00A16A36"/>
    <w:rsid w:val="00A32311"/>
    <w:rsid w:val="00A51600"/>
    <w:rsid w:val="00AC58E7"/>
    <w:rsid w:val="00B002C7"/>
    <w:rsid w:val="00B50E2E"/>
    <w:rsid w:val="00CB60DF"/>
    <w:rsid w:val="00CC180B"/>
    <w:rsid w:val="00D50FAD"/>
    <w:rsid w:val="00EC5A8C"/>
    <w:rsid w:val="00EE048F"/>
    <w:rsid w:val="00F07C27"/>
    <w:rsid w:val="00F26B99"/>
    <w:rsid w:val="00F63068"/>
    <w:rsid w:val="00F9377F"/>
    <w:rsid w:val="00FB67DA"/>
    <w:rsid w:val="00FF43EB"/>
    <w:rsid w:val="00FF6B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61069"/>
  <w15:chartTrackingRefBased/>
  <w15:docId w15:val="{E2F2A4E2-DF82-4CAD-B9A1-3384EE056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068"/>
    <w:rPr>
      <w:rFonts w:eastAsiaTheme="minorEastAsia"/>
      <w:lang w:eastAsia="fr-FR"/>
    </w:rPr>
  </w:style>
  <w:style w:type="paragraph" w:styleId="Titre1">
    <w:name w:val="heading 1"/>
    <w:basedOn w:val="Normal"/>
    <w:next w:val="Normal"/>
    <w:link w:val="Titre1Car"/>
    <w:uiPriority w:val="9"/>
    <w:qFormat/>
    <w:rsid w:val="00F630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F630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F63068"/>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F63068"/>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F63068"/>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F6306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6306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6306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6306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63068"/>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F63068"/>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63068"/>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F63068"/>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F63068"/>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F6306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6306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6306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63068"/>
    <w:rPr>
      <w:rFonts w:eastAsiaTheme="majorEastAsia" w:cstheme="majorBidi"/>
      <w:color w:val="272727" w:themeColor="text1" w:themeTint="D8"/>
    </w:rPr>
  </w:style>
  <w:style w:type="paragraph" w:styleId="Titre">
    <w:name w:val="Title"/>
    <w:basedOn w:val="Normal"/>
    <w:next w:val="Normal"/>
    <w:link w:val="TitreCar"/>
    <w:uiPriority w:val="10"/>
    <w:qFormat/>
    <w:rsid w:val="00F630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6306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6306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6306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63068"/>
    <w:pPr>
      <w:spacing w:before="160"/>
      <w:jc w:val="center"/>
    </w:pPr>
    <w:rPr>
      <w:i/>
      <w:iCs/>
      <w:color w:val="404040" w:themeColor="text1" w:themeTint="BF"/>
    </w:rPr>
  </w:style>
  <w:style w:type="character" w:customStyle="1" w:styleId="CitationCar">
    <w:name w:val="Citation Car"/>
    <w:basedOn w:val="Policepardfaut"/>
    <w:link w:val="Citation"/>
    <w:uiPriority w:val="29"/>
    <w:rsid w:val="00F63068"/>
    <w:rPr>
      <w:i/>
      <w:iCs/>
      <w:color w:val="404040" w:themeColor="text1" w:themeTint="BF"/>
    </w:rPr>
  </w:style>
  <w:style w:type="paragraph" w:styleId="Paragraphedeliste">
    <w:name w:val="List Paragraph"/>
    <w:basedOn w:val="Normal"/>
    <w:link w:val="ParagraphedelisteCar"/>
    <w:uiPriority w:val="34"/>
    <w:qFormat/>
    <w:rsid w:val="00F63068"/>
    <w:pPr>
      <w:ind w:left="720"/>
      <w:contextualSpacing/>
    </w:pPr>
  </w:style>
  <w:style w:type="character" w:styleId="Accentuationintense">
    <w:name w:val="Intense Emphasis"/>
    <w:basedOn w:val="Policepardfaut"/>
    <w:uiPriority w:val="21"/>
    <w:qFormat/>
    <w:rsid w:val="00F63068"/>
    <w:rPr>
      <w:i/>
      <w:iCs/>
      <w:color w:val="2F5496" w:themeColor="accent1" w:themeShade="BF"/>
    </w:rPr>
  </w:style>
  <w:style w:type="paragraph" w:styleId="Citationintense">
    <w:name w:val="Intense Quote"/>
    <w:basedOn w:val="Normal"/>
    <w:next w:val="Normal"/>
    <w:link w:val="CitationintenseCar"/>
    <w:uiPriority w:val="30"/>
    <w:qFormat/>
    <w:rsid w:val="00F630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63068"/>
    <w:rPr>
      <w:i/>
      <w:iCs/>
      <w:color w:val="2F5496" w:themeColor="accent1" w:themeShade="BF"/>
    </w:rPr>
  </w:style>
  <w:style w:type="character" w:styleId="Rfrenceintense">
    <w:name w:val="Intense Reference"/>
    <w:basedOn w:val="Policepardfaut"/>
    <w:uiPriority w:val="32"/>
    <w:qFormat/>
    <w:rsid w:val="00F63068"/>
    <w:rPr>
      <w:b/>
      <w:bCs/>
      <w:smallCaps/>
      <w:color w:val="2F5496" w:themeColor="accent1" w:themeShade="BF"/>
      <w:spacing w:val="5"/>
    </w:rPr>
  </w:style>
  <w:style w:type="character" w:customStyle="1" w:styleId="ParagraphedelisteCar">
    <w:name w:val="Paragraphe de liste Car"/>
    <w:link w:val="Paragraphedeliste"/>
    <w:uiPriority w:val="34"/>
    <w:rsid w:val="00CB60DF"/>
    <w:rPr>
      <w:rFonts w:eastAsiaTheme="minorEastAsia"/>
      <w:lang w:eastAsia="fr-FR"/>
    </w:rPr>
  </w:style>
  <w:style w:type="paragraph" w:styleId="Notedebasdepage">
    <w:name w:val="footnote text"/>
    <w:basedOn w:val="Normal"/>
    <w:link w:val="NotedebasdepageCar"/>
    <w:uiPriority w:val="99"/>
    <w:semiHidden/>
    <w:unhideWhenUsed/>
    <w:rsid w:val="00CC180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C180B"/>
    <w:rPr>
      <w:rFonts w:eastAsiaTheme="minorEastAsia"/>
      <w:sz w:val="20"/>
      <w:szCs w:val="20"/>
      <w:lang w:eastAsia="fr-FR"/>
    </w:rPr>
  </w:style>
  <w:style w:type="character" w:styleId="Appelnotedebasdep">
    <w:name w:val="footnote reference"/>
    <w:basedOn w:val="Policepardfaut"/>
    <w:uiPriority w:val="99"/>
    <w:semiHidden/>
    <w:unhideWhenUsed/>
    <w:rsid w:val="00CC180B"/>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952</Words>
  <Characters>5242</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PC</dc:creator>
  <cp:keywords/>
  <dc:description/>
  <cp:lastModifiedBy>HP PC</cp:lastModifiedBy>
  <cp:revision>23</cp:revision>
  <dcterms:created xsi:type="dcterms:W3CDTF">2025-12-07T00:14:00Z</dcterms:created>
  <dcterms:modified xsi:type="dcterms:W3CDTF">2026-09-17T14:08:00Z</dcterms:modified>
</cp:coreProperties>
</file>