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CF9" w:rsidRPr="007A09CF" w:rsidRDefault="003F1CF9" w:rsidP="003F1CF9">
      <w:pPr>
        <w:rPr>
          <w:rFonts w:ascii="Cambria" w:hAnsi="Cambria"/>
          <w:b/>
          <w:sz w:val="20"/>
        </w:rPr>
      </w:pPr>
      <w:r w:rsidRPr="007A09CF">
        <w:rPr>
          <w:rFonts w:ascii="Cambria" w:hAnsi="Cambria"/>
          <w:b/>
          <w:iCs/>
          <w:sz w:val="20"/>
        </w:rPr>
        <w:t>MINISTERE DE L’E</w:t>
      </w:r>
      <w:r>
        <w:rPr>
          <w:rFonts w:ascii="Cambria" w:hAnsi="Cambria"/>
          <w:b/>
          <w:iCs/>
          <w:sz w:val="20"/>
        </w:rPr>
        <w:t xml:space="preserve">NSEIGENEMENT   SUPERIEUR                                          </w:t>
      </w:r>
      <w:r w:rsidRPr="007A09CF">
        <w:rPr>
          <w:rFonts w:ascii="Cambria" w:hAnsi="Cambria"/>
          <w:b/>
          <w:iCs/>
          <w:sz w:val="20"/>
        </w:rPr>
        <w:t>REPUBLIQUE DU MALI</w:t>
      </w:r>
    </w:p>
    <w:p w:rsidR="003F1CF9" w:rsidRPr="007A09CF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  <w:r>
        <w:rPr>
          <w:rFonts w:ascii="Cambria" w:hAnsi="Cambria"/>
          <w:b/>
          <w:iCs/>
          <w:sz w:val="20"/>
        </w:rPr>
        <w:t>ET DE LA RECHERCHE SCIENTIFIQUE                                                          Un Peuple – Un But - Une Foi</w:t>
      </w: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2D6D20E" wp14:editId="3645598C">
            <wp:simplePos x="0" y="0"/>
            <wp:positionH relativeFrom="margin">
              <wp:posOffset>205105</wp:posOffset>
            </wp:positionH>
            <wp:positionV relativeFrom="paragraph">
              <wp:posOffset>107315</wp:posOffset>
            </wp:positionV>
            <wp:extent cx="1081405" cy="542925"/>
            <wp:effectExtent l="0" t="0" r="4445" b="9525"/>
            <wp:wrapNone/>
            <wp:docPr id="4" name="Image 4" descr="D:\Logo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D:\Logotyp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893072" wp14:editId="33143E10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2266315" cy="496570"/>
                <wp:effectExtent l="0" t="0" r="0" b="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66315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F1CF9" w:rsidRPr="00755ED2" w:rsidRDefault="003F1CF9" w:rsidP="003F1CF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755ED2">
                              <w:rPr>
                                <w:rFonts w:ascii="Arial Black" w:hAnsi="Arial Black"/>
                                <w:color w:val="0070C0"/>
                                <w:sz w:val="52"/>
                                <w:szCs w:val="72"/>
                              </w:rPr>
                              <w:t>RECTORAT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4421"/>
                            <a:gd name="adj2" fmla="val -51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893072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margin-left:0;margin-top:7.75pt;width:178.45pt;height:39.1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" filled="f" stroked="f">
                <o:lock v:ext="edit" shapetype="t"/>
                <v:textbox>
                  <w:txbxContent>
                    <w:p w:rsidR="003F1CF9" w:rsidRPr="00755ED2" w:rsidRDefault="003F1CF9" w:rsidP="003F1CF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755ED2">
                        <w:rPr>
                          <w:rFonts w:ascii="Arial Black" w:hAnsi="Arial Black"/>
                          <w:color w:val="0070C0"/>
                          <w:sz w:val="52"/>
                          <w:szCs w:val="72"/>
                        </w:rPr>
                        <w:t>RECTORAT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F1CF9" w:rsidRPr="007A619F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</w:rPr>
      </w:pPr>
    </w:p>
    <w:p w:rsidR="003F1CF9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</w:rPr>
      </w:pPr>
      <w:r>
        <w:rPr>
          <w:rFonts w:ascii="Cambria" w:hAnsi="Cambria"/>
          <w:b/>
          <w:bCs/>
          <w:sz w:val="20"/>
        </w:rPr>
        <w:t>SECRETARIAT GENERAL</w:t>
      </w:r>
    </w:p>
    <w:p w:rsidR="003F1CF9" w:rsidRPr="00170272" w:rsidRDefault="003F1CF9" w:rsidP="003F1CF9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</w:rPr>
      </w:pPr>
      <w:r>
        <w:rPr>
          <w:rFonts w:ascii="Cambria" w:hAnsi="Cambria"/>
          <w:b/>
          <w:bCs/>
          <w:sz w:val="20"/>
        </w:rPr>
        <w:t>SERVICE DES FINANCES</w:t>
      </w:r>
    </w:p>
    <w:p w:rsidR="003F1CF9" w:rsidRDefault="003F1CF9" w:rsidP="003F1CF9"/>
    <w:p w:rsidR="003F1CF9" w:rsidRPr="00AB28B2" w:rsidRDefault="003F1CF9" w:rsidP="003F1CF9">
      <w:pPr>
        <w:pStyle w:val="Titre2"/>
        <w:jc w:val="center"/>
        <w:rPr>
          <w:sz w:val="32"/>
          <w:szCs w:val="32"/>
        </w:rPr>
      </w:pPr>
      <w:bookmarkStart w:id="0" w:name="_Toc498605948"/>
      <w:r w:rsidRPr="00AB28B2">
        <w:rPr>
          <w:sz w:val="32"/>
          <w:szCs w:val="32"/>
        </w:rPr>
        <w:t>I Avis d’Appel à la concurrence</w:t>
      </w:r>
      <w:bookmarkEnd w:id="0"/>
    </w:p>
    <w:p w:rsidR="003F1CF9" w:rsidRPr="00AB28B2" w:rsidRDefault="003F1CF9" w:rsidP="003F1CF9"/>
    <w:p w:rsidR="003F1CF9" w:rsidRPr="00AB28B2" w:rsidRDefault="003F1CF9" w:rsidP="003F1CF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DRPO N°0849</w:t>
      </w:r>
      <w:r w:rsidRPr="00AB28B2">
        <w:rPr>
          <w:b/>
          <w:sz w:val="28"/>
          <w:szCs w:val="28"/>
        </w:rPr>
        <w:t>/F-202</w:t>
      </w:r>
      <w:r>
        <w:rPr>
          <w:b/>
          <w:sz w:val="28"/>
          <w:szCs w:val="28"/>
        </w:rPr>
        <w:t>6</w:t>
      </w:r>
    </w:p>
    <w:p w:rsidR="003F1CF9" w:rsidRPr="00AB28B2" w:rsidRDefault="003F1CF9" w:rsidP="003F1CF9"/>
    <w:p w:rsidR="003F1CF9" w:rsidRPr="00AB28B2" w:rsidRDefault="003F1CF9" w:rsidP="003F1CF9">
      <w:pPr>
        <w:pStyle w:val="Paragraphedeliste"/>
        <w:numPr>
          <w:ilvl w:val="0"/>
          <w:numId w:val="19"/>
        </w:numPr>
        <w:spacing w:after="120"/>
        <w:jc w:val="both"/>
        <w:rPr>
          <w:rFonts w:ascii="Garamond" w:hAnsi="Garamond"/>
          <w:b/>
          <w:iCs/>
        </w:rPr>
      </w:pPr>
      <w:r w:rsidRPr="00AB28B2">
        <w:rPr>
          <w:rFonts w:ascii="Garamond" w:hAnsi="Garamond"/>
          <w:b/>
        </w:rPr>
        <w:t xml:space="preserve">Cet Avis d’appel d’offres fait suite à l’Avis General de Passation des Marches paru dans le quotidien </w:t>
      </w:r>
      <w:r w:rsidRPr="005E2F3A">
        <w:rPr>
          <w:rFonts w:ascii="Garamond" w:hAnsi="Garamond"/>
          <w:b/>
        </w:rPr>
        <w:t>« L’ESSOR » n°</w:t>
      </w:r>
      <w:r>
        <w:rPr>
          <w:rFonts w:ascii="Garamond" w:hAnsi="Garamond"/>
          <w:b/>
        </w:rPr>
        <w:t>20534 du 12 décembre 2025</w:t>
      </w:r>
      <w:r w:rsidRPr="005E2F3A">
        <w:rPr>
          <w:rFonts w:ascii="Garamond" w:hAnsi="Garamond"/>
          <w:b/>
          <w:iCs/>
        </w:rPr>
        <w:t>.</w:t>
      </w:r>
    </w:p>
    <w:p w:rsidR="003F1CF9" w:rsidRPr="00AB28B2" w:rsidRDefault="003F1CF9" w:rsidP="003F1CF9">
      <w:pPr>
        <w:pStyle w:val="Paragraphedeliste"/>
        <w:spacing w:after="120"/>
        <w:jc w:val="both"/>
        <w:rPr>
          <w:rFonts w:ascii="Garamond" w:hAnsi="Garamond"/>
          <w:iCs/>
        </w:rPr>
      </w:pPr>
    </w:p>
    <w:p w:rsidR="003F1CF9" w:rsidRDefault="003F1CF9" w:rsidP="003F1CF9">
      <w:pPr>
        <w:jc w:val="both"/>
        <w:rPr>
          <w:b/>
          <w:iCs/>
        </w:rPr>
      </w:pPr>
      <w:r w:rsidRPr="00AB28B2">
        <w:t>L</w:t>
      </w:r>
      <w:r w:rsidRPr="00AB28B2">
        <w:rPr>
          <w:iCs/>
        </w:rPr>
        <w:t xml:space="preserve">’Université des Sciences Sociales et de Gestion de Bamako dispose de </w:t>
      </w:r>
      <w:r w:rsidRPr="00AB28B2">
        <w:t xml:space="preserve">fonds sur le budget de l’État, afin de financer </w:t>
      </w:r>
      <w:r w:rsidRPr="00AB28B2">
        <w:rPr>
          <w:b/>
          <w:iCs/>
        </w:rPr>
        <w:t xml:space="preserve">le programme </w:t>
      </w:r>
      <w:r w:rsidRPr="00AB28B2">
        <w:rPr>
          <w:b/>
        </w:rPr>
        <w:t xml:space="preserve">2-045 </w:t>
      </w:r>
      <w:r w:rsidRPr="00AB28B2">
        <w:t xml:space="preserve">et a l’intention d’utiliser une partie de ces fonds pour effectuer des paiements au titre du Marché </w:t>
      </w:r>
      <w:r w:rsidRPr="00AB28B2">
        <w:rPr>
          <w:b/>
          <w:iCs/>
        </w:rPr>
        <w:t xml:space="preserve">pour la fourniture </w:t>
      </w:r>
      <w:r w:rsidRPr="00AE1DB4">
        <w:rPr>
          <w:b/>
        </w:rPr>
        <w:t xml:space="preserve">de </w:t>
      </w:r>
      <w:r>
        <w:rPr>
          <w:b/>
        </w:rPr>
        <w:t xml:space="preserve">consommables informatiques </w:t>
      </w:r>
      <w:r>
        <w:rPr>
          <w:b/>
          <w:iCs/>
        </w:rPr>
        <w:t>pour les structures de</w:t>
      </w:r>
      <w:r w:rsidRPr="00415050">
        <w:rPr>
          <w:b/>
          <w:iCs/>
        </w:rPr>
        <w:t xml:space="preserve"> l'USSGB</w:t>
      </w:r>
      <w:r>
        <w:rPr>
          <w:b/>
          <w:iCs/>
        </w:rPr>
        <w:t>, en lot unique. </w:t>
      </w:r>
    </w:p>
    <w:p w:rsidR="003F1CF9" w:rsidRDefault="003F1CF9" w:rsidP="003F1CF9">
      <w:pPr>
        <w:jc w:val="both"/>
        <w:rPr>
          <w:iCs/>
        </w:rPr>
      </w:pPr>
    </w:p>
    <w:p w:rsidR="003F1CF9" w:rsidRPr="009A4B97" w:rsidRDefault="003F1CF9" w:rsidP="003F1CF9">
      <w:pPr>
        <w:jc w:val="both"/>
        <w:rPr>
          <w:b/>
          <w:iCs/>
        </w:rPr>
      </w:pPr>
      <w:r w:rsidRPr="00415050">
        <w:rPr>
          <w:iCs/>
        </w:rPr>
        <w:t>L’Université des Sciences Sociales et de Gestion de Bamako sollicite des offres fermées de la part de candidats éligibles et répondant aux qualifications requises pour la prestat</w:t>
      </w:r>
      <w:r>
        <w:rPr>
          <w:iCs/>
        </w:rPr>
        <w:t xml:space="preserve">ion du service suivant : </w:t>
      </w:r>
      <w:r>
        <w:rPr>
          <w:b/>
          <w:iCs/>
        </w:rPr>
        <w:t xml:space="preserve">Fourniture </w:t>
      </w:r>
      <w:r w:rsidRPr="00AE1DB4">
        <w:rPr>
          <w:b/>
        </w:rPr>
        <w:t xml:space="preserve">de </w:t>
      </w:r>
      <w:r>
        <w:rPr>
          <w:b/>
        </w:rPr>
        <w:t xml:space="preserve">consommables informatiques </w:t>
      </w:r>
      <w:r>
        <w:rPr>
          <w:b/>
          <w:iCs/>
        </w:rPr>
        <w:t>pour les structures de l'USSG</w:t>
      </w:r>
      <w:r w:rsidRPr="00415050">
        <w:rPr>
          <w:b/>
          <w:iCs/>
        </w:rPr>
        <w:t>B</w:t>
      </w:r>
    </w:p>
    <w:p w:rsidR="003F1CF9" w:rsidRPr="00FF5B60" w:rsidRDefault="003F1CF9" w:rsidP="003F1CF9">
      <w:pPr>
        <w:pStyle w:val="Paragraphedeliste"/>
        <w:jc w:val="both"/>
        <w:rPr>
          <w:i/>
          <w:iCs/>
        </w:rPr>
      </w:pPr>
    </w:p>
    <w:p w:rsidR="003F1CF9" w:rsidRPr="00FF5B60" w:rsidRDefault="003F1CF9" w:rsidP="003F1CF9">
      <w:pPr>
        <w:pStyle w:val="Paragraphedeliste"/>
        <w:numPr>
          <w:ilvl w:val="0"/>
          <w:numId w:val="19"/>
        </w:numPr>
        <w:tabs>
          <w:tab w:val="left" w:pos="900"/>
        </w:tabs>
        <w:suppressAutoHyphens/>
        <w:autoSpaceDN w:val="0"/>
        <w:spacing w:after="200"/>
        <w:jc w:val="both"/>
        <w:rPr>
          <w:rFonts w:ascii="Verdana" w:hAnsi="Verdana" w:cs="Verdana"/>
          <w:b/>
          <w:sz w:val="20"/>
        </w:rPr>
      </w:pPr>
      <w:r w:rsidRPr="00F456F7">
        <w:t xml:space="preserve">La passation du Marché sera conduite par </w:t>
      </w:r>
      <w:r w:rsidRPr="009A4B97">
        <w:rPr>
          <w:b/>
        </w:rPr>
        <w:t>Demande de Renseignement et de Prix à Compétition Ouverte</w:t>
      </w:r>
      <w:r w:rsidRPr="00F456F7">
        <w:t xml:space="preserve"> (DRPO) telle que définie à </w:t>
      </w:r>
      <w:r w:rsidRPr="009A4B97">
        <w:rPr>
          <w:b/>
        </w:rPr>
        <w:t>l’Arrêté n° 2020-1560/MEF-SG du 22 avril 2020 portant modification de l’Arrêté n° 2015-3721/MFF-SG du 22 octobre 2015 fixant les modalités d’application du Décret n°2015-0604/P-RM du 25 septembre 2015 portant code des marchés publics et des délégations de service public</w:t>
      </w:r>
      <w:r>
        <w:rPr>
          <w:b/>
        </w:rPr>
        <w:t>.</w:t>
      </w:r>
      <w:r>
        <w:t> </w:t>
      </w:r>
    </w:p>
    <w:p w:rsidR="003F1CF9" w:rsidRPr="004F5B49" w:rsidRDefault="003F1CF9" w:rsidP="003F1CF9">
      <w:pPr>
        <w:pStyle w:val="Paragraphedeliste"/>
        <w:numPr>
          <w:ilvl w:val="0"/>
          <w:numId w:val="19"/>
        </w:numPr>
        <w:tabs>
          <w:tab w:val="left" w:pos="900"/>
        </w:tabs>
        <w:suppressAutoHyphens/>
        <w:autoSpaceDN w:val="0"/>
        <w:spacing w:after="200"/>
        <w:jc w:val="both"/>
        <w:rPr>
          <w:rFonts w:ascii="Verdana" w:hAnsi="Verdana" w:cs="Verdana"/>
          <w:b/>
          <w:sz w:val="20"/>
        </w:rPr>
      </w:pPr>
      <w:r w:rsidRPr="00D1508F">
        <w:t>Les candidats intéressés peuvent obtenir des informations auprès du</w:t>
      </w:r>
      <w:r w:rsidRPr="003D5D08">
        <w:rPr>
          <w:rFonts w:ascii="Verdana" w:hAnsi="Verdana" w:cs="Verdana"/>
          <w:b/>
          <w:sz w:val="20"/>
        </w:rPr>
        <w:t xml:space="preserve"> Service des Finances de l’Université des </w:t>
      </w:r>
      <w:r w:rsidRPr="003D5D08">
        <w:rPr>
          <w:rFonts w:ascii="Verdana" w:hAnsi="Verdana"/>
          <w:b/>
          <w:sz w:val="20"/>
        </w:rPr>
        <w:t>Sciences Sociales et de Gestio</w:t>
      </w:r>
      <w:r w:rsidRPr="003D5D08">
        <w:rPr>
          <w:rFonts w:ascii="Verdana" w:hAnsi="Verdana" w:cs="Verdana"/>
          <w:b/>
          <w:sz w:val="20"/>
        </w:rPr>
        <w:t>n de Bamako, à la Division Matériels et Approvisionnement, BP : 2575, Quartier du Fleuve</w:t>
      </w:r>
      <w:r>
        <w:rPr>
          <w:rFonts w:ascii="Verdana" w:hAnsi="Verdana" w:cs="Verdana"/>
          <w:b/>
          <w:sz w:val="20"/>
        </w:rPr>
        <w:t>,</w:t>
      </w:r>
      <w:r w:rsidRPr="003D5D08">
        <w:rPr>
          <w:rFonts w:ascii="Verdana" w:hAnsi="Verdana" w:cs="Verdana"/>
          <w:b/>
          <w:sz w:val="20"/>
        </w:rPr>
        <w:t xml:space="preserve"> Rue 310</w:t>
      </w:r>
      <w:r>
        <w:rPr>
          <w:rFonts w:ascii="Verdana" w:hAnsi="Verdana" w:cs="Verdana"/>
          <w:b/>
          <w:sz w:val="20"/>
        </w:rPr>
        <w:t>,</w:t>
      </w:r>
      <w:r w:rsidRPr="003D5D08">
        <w:rPr>
          <w:rFonts w:ascii="Verdana" w:hAnsi="Verdana" w:cs="Verdana"/>
          <w:b/>
          <w:sz w:val="20"/>
        </w:rPr>
        <w:t xml:space="preserve"> Porte 238</w:t>
      </w:r>
      <w:r>
        <w:rPr>
          <w:rFonts w:ascii="Verdana" w:hAnsi="Verdana" w:cs="Verdana"/>
          <w:b/>
          <w:sz w:val="20"/>
        </w:rPr>
        <w:t>,</w:t>
      </w:r>
      <w:r w:rsidRPr="003D5D08">
        <w:rPr>
          <w:rFonts w:ascii="Verdana" w:hAnsi="Verdana" w:cs="Verdana"/>
          <w:b/>
          <w:sz w:val="20"/>
        </w:rPr>
        <w:t xml:space="preserve"> près du Marché Dibida, téléphone :20 22 08 65/Bamako</w:t>
      </w:r>
      <w:r>
        <w:rPr>
          <w:rFonts w:ascii="Verdana" w:hAnsi="Verdana" w:cs="Verdana"/>
          <w:b/>
          <w:sz w:val="20"/>
        </w:rPr>
        <w:t xml:space="preserve"> </w:t>
      </w:r>
      <w:r w:rsidRPr="006703F0">
        <w:t>et prendre connaissance des documents de la Demande de Renseignement et de Prix à compétition Ouverte (DRP</w:t>
      </w:r>
      <w:r>
        <w:t>C</w:t>
      </w:r>
      <w:r w:rsidRPr="006703F0">
        <w:t>O) à l’adresse</w:t>
      </w:r>
      <w:r>
        <w:t xml:space="preserve"> mentionnée ci-après : bureau de la</w:t>
      </w:r>
      <w:r w:rsidRPr="006703F0">
        <w:t xml:space="preserve"> </w:t>
      </w:r>
      <w:r w:rsidRPr="003D5D08">
        <w:rPr>
          <w:iCs/>
        </w:rPr>
        <w:t>Division Matériels et Approvisionnement</w:t>
      </w:r>
      <w:r w:rsidRPr="006703F0">
        <w:t>. Le dossier peut être consulté du lundi au vendredi pendant les heures de service.</w:t>
      </w:r>
    </w:p>
    <w:p w:rsidR="003F1CF9" w:rsidRPr="003D5D08" w:rsidRDefault="003F1CF9" w:rsidP="003F1CF9">
      <w:pPr>
        <w:pStyle w:val="Paragraphedeliste"/>
        <w:jc w:val="both"/>
        <w:rPr>
          <w:rFonts w:ascii="Verdana" w:hAnsi="Verdana" w:cs="Verdana"/>
          <w:b/>
          <w:sz w:val="20"/>
        </w:rPr>
      </w:pPr>
    </w:p>
    <w:p w:rsidR="003F1CF9" w:rsidRPr="004F5B49" w:rsidRDefault="003F1CF9" w:rsidP="003F1CF9">
      <w:pPr>
        <w:pStyle w:val="Style1"/>
        <w:tabs>
          <w:tab w:val="left" w:pos="900"/>
        </w:tabs>
        <w:suppressAutoHyphens/>
        <w:autoSpaceDN w:val="0"/>
        <w:spacing w:after="200"/>
        <w:jc w:val="both"/>
        <w:rPr>
          <w:rFonts w:ascii="Verdana" w:hAnsi="Verdana" w:cs="Verdana"/>
          <w:sz w:val="20"/>
        </w:rPr>
      </w:pPr>
      <w:r w:rsidRPr="00123BC1">
        <w:rPr>
          <w:b w:val="0"/>
        </w:rPr>
        <w:t>Les exigences en matière de qualifications sont</w:t>
      </w:r>
      <w:r w:rsidRPr="003D5D08">
        <w:t xml:space="preserve"> : </w:t>
      </w:r>
    </w:p>
    <w:p w:rsidR="003F1CF9" w:rsidRDefault="003F1CF9" w:rsidP="003F1CF9">
      <w:pPr>
        <w:pStyle w:val="Paragraphedeliste"/>
        <w:jc w:val="both"/>
        <w:rPr>
          <w:rFonts w:ascii="Verdana" w:hAnsi="Verdana" w:cs="Verdana"/>
          <w:sz w:val="20"/>
        </w:rPr>
      </w:pPr>
    </w:p>
    <w:p w:rsidR="003F1CF9" w:rsidRPr="00123BC1" w:rsidRDefault="003F1CF9" w:rsidP="003F1CF9">
      <w:pPr>
        <w:pStyle w:val="Style1"/>
        <w:numPr>
          <w:ilvl w:val="0"/>
          <w:numId w:val="0"/>
        </w:numPr>
        <w:tabs>
          <w:tab w:val="left" w:pos="900"/>
        </w:tabs>
        <w:suppressAutoHyphens/>
        <w:autoSpaceDN w:val="0"/>
        <w:spacing w:after="200"/>
        <w:ind w:left="720" w:hanging="720"/>
        <w:jc w:val="both"/>
        <w:rPr>
          <w:rFonts w:ascii="Verdana" w:hAnsi="Verdana" w:cs="Verdana"/>
          <w:sz w:val="20"/>
        </w:rPr>
      </w:pPr>
    </w:p>
    <w:p w:rsidR="003F1CF9" w:rsidRPr="003D5D08" w:rsidRDefault="003F1CF9" w:rsidP="003F1CF9">
      <w:pPr>
        <w:pStyle w:val="Paragraphedeliste"/>
        <w:numPr>
          <w:ilvl w:val="0"/>
          <w:numId w:val="20"/>
        </w:numPr>
        <w:spacing w:before="120" w:after="120"/>
        <w:jc w:val="both"/>
        <w:rPr>
          <w:b/>
        </w:rPr>
      </w:pPr>
      <w:r w:rsidRPr="003D5D08">
        <w:rPr>
          <w:b/>
        </w:rPr>
        <w:lastRenderedPageBreak/>
        <w:t xml:space="preserve">Capacité </w:t>
      </w:r>
      <w:r>
        <w:rPr>
          <w:b/>
        </w:rPr>
        <w:t>financiè</w:t>
      </w:r>
      <w:r w:rsidRPr="003D5D08">
        <w:rPr>
          <w:b/>
        </w:rPr>
        <w:t>r</w:t>
      </w:r>
      <w:r>
        <w:rPr>
          <w:b/>
        </w:rPr>
        <w:t>e</w:t>
      </w:r>
    </w:p>
    <w:p w:rsidR="003F1CF9" w:rsidRPr="003D5D08" w:rsidRDefault="003F1CF9" w:rsidP="003F1CF9">
      <w:pPr>
        <w:ind w:left="540" w:hanging="540"/>
        <w:jc w:val="both"/>
        <w:rPr>
          <w:sz w:val="12"/>
          <w:szCs w:val="12"/>
        </w:rPr>
      </w:pPr>
    </w:p>
    <w:p w:rsidR="003F1CF9" w:rsidRPr="003D5D08" w:rsidRDefault="003F1CF9" w:rsidP="003F1CF9">
      <w:pPr>
        <w:jc w:val="both"/>
      </w:pPr>
      <w:r w:rsidRPr="003D5D08">
        <w:t>Le Soumissionnaire doit fournir la preuve écrite qu’il satisfait aux exigences ci-après :</w:t>
      </w:r>
    </w:p>
    <w:p w:rsidR="003F1CF9" w:rsidRDefault="003F1CF9" w:rsidP="003F1CF9">
      <w:pPr>
        <w:jc w:val="both"/>
        <w:rPr>
          <w:b/>
          <w:i/>
          <w:iCs/>
        </w:rPr>
      </w:pPr>
      <w:r w:rsidRPr="003D5D08">
        <w:rPr>
          <w:b/>
          <w:iCs/>
        </w:rPr>
        <w:t>Le chiffre d’affaires moyen des années 20</w:t>
      </w:r>
      <w:r>
        <w:rPr>
          <w:b/>
          <w:iCs/>
        </w:rPr>
        <w:t>23</w:t>
      </w:r>
      <w:r w:rsidRPr="003D5D08">
        <w:rPr>
          <w:b/>
          <w:iCs/>
        </w:rPr>
        <w:t>, 20</w:t>
      </w:r>
      <w:r>
        <w:rPr>
          <w:b/>
          <w:iCs/>
        </w:rPr>
        <w:t>24 et 2025</w:t>
      </w:r>
      <w:r w:rsidRPr="003D5D08">
        <w:rPr>
          <w:b/>
          <w:iCs/>
        </w:rPr>
        <w:t xml:space="preserve"> doit être au moins égal </w:t>
      </w:r>
      <w:r w:rsidRPr="00E62543">
        <w:rPr>
          <w:b/>
        </w:rPr>
        <w:t>au</w:t>
      </w:r>
      <w:r>
        <w:rPr>
          <w:b/>
        </w:rPr>
        <w:t xml:space="preserve"> </w:t>
      </w:r>
      <w:r w:rsidRPr="003D5D08">
        <w:rPr>
          <w:b/>
        </w:rPr>
        <w:t>montant de l’offre</w:t>
      </w:r>
      <w:r w:rsidRPr="003D5D08">
        <w:rPr>
          <w:b/>
          <w:iCs/>
        </w:rPr>
        <w:t>. Les chiffres d’affaires sont tirés des états financiers (bilans, extraits des bilans et comptes d’exploitation), certifiés par un expert-comptable agréé ou attestés par un comptable agréé inscrit à l’Ordre pour au maximum pour les années 20</w:t>
      </w:r>
      <w:r>
        <w:rPr>
          <w:b/>
          <w:iCs/>
        </w:rPr>
        <w:t>23</w:t>
      </w:r>
      <w:r w:rsidRPr="003D5D08">
        <w:rPr>
          <w:b/>
          <w:iCs/>
        </w:rPr>
        <w:t>, 20</w:t>
      </w:r>
      <w:r>
        <w:rPr>
          <w:b/>
          <w:iCs/>
        </w:rPr>
        <w:t>24 et 2025</w:t>
      </w:r>
      <w:r w:rsidRPr="003D5D08">
        <w:rPr>
          <w:b/>
          <w:iCs/>
        </w:rPr>
        <w:t>. Sur ces bilans, doit figurer la mention suivante apposée par le service compétent des impôts « bilans ou extrait de bilans conforme aux déclarations souscrites au service des impôts »</w:t>
      </w:r>
      <w:r>
        <w:rPr>
          <w:b/>
          <w:iCs/>
        </w:rPr>
        <w:t>.</w:t>
      </w:r>
    </w:p>
    <w:p w:rsidR="003F1CF9" w:rsidRPr="003D5D08" w:rsidRDefault="003F1CF9" w:rsidP="003F1CF9">
      <w:pPr>
        <w:jc w:val="both"/>
        <w:rPr>
          <w:b/>
          <w:i/>
          <w:iCs/>
        </w:rPr>
      </w:pPr>
    </w:p>
    <w:p w:rsidR="003F1CF9" w:rsidRDefault="003F1CF9" w:rsidP="003F1CF9">
      <w:pPr>
        <w:jc w:val="both"/>
        <w:rPr>
          <w:b/>
          <w:iCs/>
        </w:rPr>
      </w:pPr>
      <w:r>
        <w:rPr>
          <w:b/>
          <w:iCs/>
        </w:rPr>
        <w:tab/>
      </w:r>
      <w:r w:rsidRPr="003D5D08">
        <w:rPr>
          <w:b/>
          <w:iCs/>
        </w:rPr>
        <w:t>Les sociétés nouvellement créées doivent fournir une attestation bancaire de disponibilité de fonds ou d’engagement à financer le marché d’un montant au moins égal à </w:t>
      </w:r>
      <w:r>
        <w:rPr>
          <w:b/>
          <w:iCs/>
        </w:rPr>
        <w:t>30</w:t>
      </w:r>
      <w:r w:rsidRPr="003D5D08">
        <w:rPr>
          <w:b/>
          <w:iCs/>
        </w:rPr>
        <w:t> 000 000 F CFA (L’attestation doit être conforme au modèle donné dans le présent dossier).</w:t>
      </w:r>
    </w:p>
    <w:p w:rsidR="003F1CF9" w:rsidRDefault="003F1CF9" w:rsidP="003F1CF9">
      <w:pPr>
        <w:jc w:val="both"/>
        <w:rPr>
          <w:b/>
          <w:iCs/>
        </w:rPr>
      </w:pPr>
    </w:p>
    <w:p w:rsidR="003F1CF9" w:rsidRDefault="003F1CF9" w:rsidP="003F1CF9">
      <w:pPr>
        <w:pStyle w:val="Paragraphedeliste"/>
        <w:numPr>
          <w:ilvl w:val="0"/>
          <w:numId w:val="20"/>
        </w:numPr>
        <w:jc w:val="both"/>
        <w:rPr>
          <w:b/>
        </w:rPr>
      </w:pPr>
      <w:r w:rsidRPr="00EF5909">
        <w:rPr>
          <w:b/>
        </w:rPr>
        <w:t>Capacité technique et experience :</w:t>
      </w:r>
    </w:p>
    <w:p w:rsidR="003F1CF9" w:rsidRPr="003D5D08" w:rsidRDefault="003F1CF9" w:rsidP="003F1CF9">
      <w:pPr>
        <w:jc w:val="both"/>
      </w:pPr>
    </w:p>
    <w:p w:rsidR="003F1CF9" w:rsidRDefault="003F1CF9" w:rsidP="003F1CF9">
      <w:pPr>
        <w:ind w:left="540"/>
        <w:jc w:val="both"/>
        <w:rPr>
          <w:b/>
        </w:rPr>
      </w:pPr>
      <w:r w:rsidRPr="003D5D08">
        <w:rPr>
          <w:b/>
        </w:rPr>
        <w:t>Le Soumissionnaire</w:t>
      </w:r>
      <w:r>
        <w:rPr>
          <w:b/>
        </w:rPr>
        <w:t xml:space="preserve"> </w:t>
      </w:r>
      <w:r w:rsidRPr="003D5D08">
        <w:rPr>
          <w:b/>
        </w:rPr>
        <w:t>doit prouver, documentation à l’appui, qu’il satisfait aux exigences d’expérience ci-après :</w:t>
      </w:r>
    </w:p>
    <w:p w:rsidR="003F1CF9" w:rsidRPr="003D5D08" w:rsidRDefault="003F1CF9" w:rsidP="003F1CF9">
      <w:pPr>
        <w:ind w:left="540"/>
        <w:jc w:val="both"/>
        <w:rPr>
          <w:b/>
          <w:i/>
          <w:iCs/>
        </w:rPr>
      </w:pPr>
    </w:p>
    <w:p w:rsidR="003F1CF9" w:rsidRDefault="003F1CF9" w:rsidP="003F1CF9">
      <w:pPr>
        <w:jc w:val="both"/>
      </w:pPr>
      <w:r>
        <w:tab/>
      </w:r>
      <w:r w:rsidRPr="003D5D08">
        <w:t xml:space="preserve">Avoir au moins </w:t>
      </w:r>
      <w:r>
        <w:t>deux (02</w:t>
      </w:r>
      <w:r w:rsidRPr="003D5D08">
        <w:t xml:space="preserve">) marchés </w:t>
      </w:r>
      <w:r>
        <w:t>similaires</w:t>
      </w:r>
      <w:r w:rsidRPr="003D5D08">
        <w:t xml:space="preserve"> avec une valeur minimale par marché similaire de 30 pour cent du montant de la soumission. Lesdits marchés similaires doivent être prouvés par </w:t>
      </w:r>
      <w:r w:rsidRPr="009E2985">
        <w:rPr>
          <w:b/>
        </w:rPr>
        <w:t xml:space="preserve">les procès-verbaux </w:t>
      </w:r>
      <w:r>
        <w:rPr>
          <w:b/>
        </w:rPr>
        <w:t>de réception définitive</w:t>
      </w:r>
      <w:r w:rsidRPr="009E2985">
        <w:rPr>
          <w:b/>
        </w:rPr>
        <w:t xml:space="preserve"> </w:t>
      </w:r>
      <w:r w:rsidRPr="003D5D08">
        <w:t xml:space="preserve">et les copies des pages de garde et des pages de signature des marchés correspondants ou tout document émanant d’institutions publiques ou parapubliques ou internationales permettant de justifier de sa capacité à exécuter le marché dans les règles de l’art pendant la période </w:t>
      </w:r>
      <w:r>
        <w:rPr>
          <w:b/>
        </w:rPr>
        <w:t>2022 à 2026</w:t>
      </w:r>
      <w:r w:rsidRPr="003D5D08">
        <w:t xml:space="preserve">. </w:t>
      </w:r>
    </w:p>
    <w:p w:rsidR="003F1CF9" w:rsidRPr="003D5D08" w:rsidRDefault="003F1CF9" w:rsidP="003F1CF9">
      <w:pPr>
        <w:jc w:val="both"/>
        <w:rPr>
          <w:i/>
          <w:iCs/>
        </w:rPr>
      </w:pPr>
    </w:p>
    <w:p w:rsidR="003F1CF9" w:rsidRPr="00170455" w:rsidRDefault="003F1CF9" w:rsidP="003F1CF9">
      <w:pPr>
        <w:pStyle w:val="Paragraphedeliste"/>
        <w:spacing w:after="120"/>
        <w:ind w:left="284"/>
        <w:jc w:val="both"/>
        <w:rPr>
          <w:rFonts w:ascii="Garamond" w:hAnsi="Garamond"/>
          <w:sz w:val="8"/>
          <w:szCs w:val="8"/>
        </w:rPr>
      </w:pPr>
    </w:p>
    <w:p w:rsidR="003F1CF9" w:rsidRPr="00397B10" w:rsidRDefault="003F1CF9" w:rsidP="003F1CF9">
      <w:pPr>
        <w:pStyle w:val="Style1"/>
        <w:spacing w:after="120"/>
        <w:jc w:val="both"/>
      </w:pPr>
      <w:r w:rsidRPr="00123BC1">
        <w:rPr>
          <w:iCs/>
        </w:rPr>
        <w:t>Les candidats devront joindre à leurs offres les pièces administratives et fiscales suivantes : registre de commerce, certificat de non faillite datant de moins de trois (03) mois et quitus fiscal à jour.</w:t>
      </w:r>
    </w:p>
    <w:p w:rsidR="003F1CF9" w:rsidRPr="009E2985" w:rsidRDefault="003F1CF9" w:rsidP="003F1CF9">
      <w:pPr>
        <w:spacing w:before="120" w:after="120"/>
        <w:jc w:val="both"/>
        <w:rPr>
          <w:b/>
          <w:iCs/>
        </w:rPr>
      </w:pPr>
      <w:r w:rsidRPr="00D32ECC">
        <w:t>Les candidats intéressés peuvent consulter gratuitement le dossier d’Appel</w:t>
      </w:r>
      <w:r>
        <w:t xml:space="preserve"> à la Concurrence</w:t>
      </w:r>
      <w:r w:rsidRPr="00D32ECC">
        <w:t xml:space="preserve"> complet ou le retirer</w:t>
      </w:r>
      <w:r>
        <w:t xml:space="preserve"> gratuitement ou</w:t>
      </w:r>
      <w:r w:rsidRPr="00D32ECC">
        <w:t xml:space="preserve"> à titre onéreux contre paiement</w:t>
      </w:r>
      <w:r w:rsidRPr="00D32ECC">
        <w:rPr>
          <w:rStyle w:val="Appelnotedebasdep"/>
        </w:rPr>
        <w:footnoteReference w:id="1"/>
      </w:r>
      <w:r w:rsidRPr="00D32ECC">
        <w:t xml:space="preserve"> d’une somme non remboursable de </w:t>
      </w:r>
      <w:r>
        <w:rPr>
          <w:b/>
          <w:iCs/>
        </w:rPr>
        <w:t>cent mille (5</w:t>
      </w:r>
      <w:r w:rsidRPr="00397B10">
        <w:rPr>
          <w:b/>
          <w:iCs/>
        </w:rPr>
        <w:t>0 000) FCFA</w:t>
      </w:r>
      <w:r>
        <w:rPr>
          <w:b/>
          <w:iCs/>
        </w:rPr>
        <w:t xml:space="preserve"> </w:t>
      </w:r>
      <w:r w:rsidRPr="00D32ECC">
        <w:t>à l’adresse mentionnée ci-après</w:t>
      </w:r>
      <w:r>
        <w:t xml:space="preserve"> : </w:t>
      </w:r>
      <w:r w:rsidRPr="00C865DC">
        <w:rPr>
          <w:b/>
        </w:rPr>
        <w:t>Service des Finances</w:t>
      </w:r>
      <w:r>
        <w:t xml:space="preserve"> (</w:t>
      </w:r>
      <w:r w:rsidRPr="00397B10">
        <w:rPr>
          <w:b/>
          <w:iCs/>
        </w:rPr>
        <w:t>Division Matériels et Approvisionnement</w:t>
      </w:r>
      <w:r>
        <w:rPr>
          <w:b/>
          <w:iCs/>
        </w:rPr>
        <w:t>)</w:t>
      </w:r>
      <w:r w:rsidRPr="00397B10">
        <w:rPr>
          <w:b/>
          <w:iCs/>
        </w:rPr>
        <w:t xml:space="preserve">. </w:t>
      </w:r>
      <w:r>
        <w:rPr>
          <w:b/>
          <w:iCs/>
        </w:rPr>
        <w:t>Le m</w:t>
      </w:r>
      <w:r>
        <w:rPr>
          <w:b/>
        </w:rPr>
        <w:t>ode</w:t>
      </w:r>
      <w:r w:rsidRPr="00397B10">
        <w:rPr>
          <w:b/>
        </w:rPr>
        <w:t xml:space="preserve"> de paiement sera </w:t>
      </w:r>
      <w:r w:rsidRPr="00397B10">
        <w:rPr>
          <w:b/>
          <w:iCs/>
        </w:rPr>
        <w:t xml:space="preserve">au comptant contre </w:t>
      </w:r>
      <w:r>
        <w:rPr>
          <w:b/>
          <w:iCs/>
        </w:rPr>
        <w:t>quittance</w:t>
      </w:r>
      <w:r w:rsidRPr="00397B10">
        <w:rPr>
          <w:b/>
          <w:iCs/>
        </w:rPr>
        <w:t xml:space="preserve"> délivré</w:t>
      </w:r>
      <w:r>
        <w:rPr>
          <w:b/>
          <w:iCs/>
        </w:rPr>
        <w:t>e</w:t>
      </w:r>
      <w:r w:rsidRPr="00397B10">
        <w:rPr>
          <w:b/>
          <w:iCs/>
        </w:rPr>
        <w:t xml:space="preserve"> par l’USSGB</w:t>
      </w:r>
      <w:r w:rsidRPr="0076697D">
        <w:rPr>
          <w:iCs/>
        </w:rPr>
        <w:t>.</w:t>
      </w:r>
    </w:p>
    <w:p w:rsidR="003F1CF9" w:rsidRPr="009E2985" w:rsidRDefault="003F1CF9" w:rsidP="003F1CF9">
      <w:pPr>
        <w:spacing w:before="120" w:after="120"/>
        <w:jc w:val="both"/>
        <w:rPr>
          <w:b/>
          <w:iCs/>
        </w:rPr>
      </w:pPr>
      <w:r>
        <w:rPr>
          <w:iCs/>
        </w:rPr>
        <w:t xml:space="preserve">L’attributaire provisoire du marché doit obligatoirement fournir dans un délai de deux (02) jours ouvrables, les pièces suivantes : </w:t>
      </w:r>
      <w:r w:rsidRPr="009E2985">
        <w:rPr>
          <w:b/>
          <w:iCs/>
        </w:rPr>
        <w:t>statut, carte d’identi</w:t>
      </w:r>
      <w:r>
        <w:rPr>
          <w:b/>
          <w:iCs/>
        </w:rPr>
        <w:t>fication fiscale, attestation (</w:t>
      </w:r>
      <w:r w:rsidRPr="009E2985">
        <w:rPr>
          <w:b/>
          <w:iCs/>
        </w:rPr>
        <w:t>INPS) et l’</w:t>
      </w:r>
      <w:r>
        <w:rPr>
          <w:b/>
          <w:iCs/>
        </w:rPr>
        <w:t>attestation (</w:t>
      </w:r>
      <w:r w:rsidRPr="009E2985">
        <w:rPr>
          <w:b/>
          <w:iCs/>
        </w:rPr>
        <w:t>OMH)</w:t>
      </w:r>
      <w:r>
        <w:rPr>
          <w:b/>
          <w:iCs/>
        </w:rPr>
        <w:t>.</w:t>
      </w:r>
    </w:p>
    <w:p w:rsidR="003F1CF9" w:rsidRDefault="003F1CF9" w:rsidP="003F1CF9">
      <w:pPr>
        <w:pStyle w:val="Paragraphedeliste"/>
        <w:jc w:val="both"/>
        <w:rPr>
          <w:b/>
          <w:iCs/>
        </w:rPr>
      </w:pPr>
    </w:p>
    <w:p w:rsidR="003F1CF9" w:rsidRPr="004346E8" w:rsidRDefault="003F1CF9" w:rsidP="003F1CF9">
      <w:pPr>
        <w:pStyle w:val="Style1"/>
        <w:spacing w:line="360" w:lineRule="auto"/>
        <w:contextualSpacing/>
        <w:jc w:val="both"/>
      </w:pPr>
      <w:r w:rsidRPr="004346E8">
        <w:t>Les offres devront être soumises à l’adresse ci-après</w:t>
      </w:r>
      <w:r>
        <w:t> :</w:t>
      </w:r>
      <w:r w:rsidRPr="00123BC1">
        <w:rPr>
          <w:iCs/>
        </w:rPr>
        <w:t xml:space="preserve"> Division Matériels et Approvisionnement, </w:t>
      </w:r>
      <w:r w:rsidRPr="004346E8">
        <w:t>au plus tard le</w:t>
      </w:r>
      <w:r>
        <w:t xml:space="preserve"> 15 juillet 2026 à partir de </w:t>
      </w:r>
      <w:r w:rsidRPr="00123BC1">
        <w:t>08</w:t>
      </w:r>
      <w:r>
        <w:t xml:space="preserve"> heures. </w:t>
      </w:r>
      <w:r w:rsidRPr="004346E8">
        <w:t xml:space="preserve">Les offres remises en retard ne seront pas acceptées. </w:t>
      </w:r>
    </w:p>
    <w:p w:rsidR="003F1CF9" w:rsidRPr="00BC0ACE" w:rsidRDefault="003F1CF9" w:rsidP="003F1CF9">
      <w:pPr>
        <w:pStyle w:val="Style1"/>
        <w:jc w:val="both"/>
        <w:rPr>
          <w:b w:val="0"/>
          <w:iCs/>
        </w:rPr>
      </w:pPr>
      <w:r w:rsidRPr="00EF7D2E">
        <w:t xml:space="preserve">Les offres doivent comprendre </w:t>
      </w:r>
      <w:r w:rsidRPr="00EF7D2E">
        <w:rPr>
          <w:iCs/>
        </w:rPr>
        <w:t>une garantie de soumission</w:t>
      </w:r>
      <w:r w:rsidRPr="00EF7D2E">
        <w:t xml:space="preserve">, </w:t>
      </w:r>
      <w:r>
        <w:t>d’un million deux cent mille (1 2</w:t>
      </w:r>
      <w:r w:rsidRPr="002C7753">
        <w:t>0</w:t>
      </w:r>
      <w:r>
        <w:t xml:space="preserve">0 </w:t>
      </w:r>
      <w:r w:rsidRPr="002C7753">
        <w:t>000) FCFA</w:t>
      </w:r>
      <w:r>
        <w:t xml:space="preserve">. </w:t>
      </w:r>
    </w:p>
    <w:p w:rsidR="003F1CF9" w:rsidRPr="004F5B49" w:rsidRDefault="003F1CF9" w:rsidP="003F1CF9">
      <w:pPr>
        <w:pStyle w:val="Style1"/>
        <w:jc w:val="both"/>
        <w:rPr>
          <w:sz w:val="20"/>
        </w:rPr>
      </w:pPr>
      <w:r w:rsidRPr="002C7753">
        <w:t>Les Soumissionnaires</w:t>
      </w:r>
      <w:r>
        <w:t xml:space="preserve"> </w:t>
      </w:r>
      <w:r w:rsidRPr="002C7753">
        <w:t>resteront engagés par leur</w:t>
      </w:r>
      <w:r>
        <w:t>s</w:t>
      </w:r>
      <w:r w:rsidRPr="002C7753">
        <w:t xml:space="preserve"> offre</w:t>
      </w:r>
      <w:r>
        <w:t>s</w:t>
      </w:r>
      <w:r w:rsidRPr="002C7753">
        <w:t xml:space="preserve"> pendant une période de </w:t>
      </w:r>
      <w:r>
        <w:t>soixante (6</w:t>
      </w:r>
      <w:r w:rsidRPr="002C7753">
        <w:t>0) jours à compter de la date limite du dépôt des offres</w:t>
      </w:r>
      <w:r>
        <w:t>.</w:t>
      </w:r>
    </w:p>
    <w:p w:rsidR="003F1CF9" w:rsidRPr="004F5B49" w:rsidRDefault="003F1CF9" w:rsidP="003F1CF9">
      <w:pPr>
        <w:pStyle w:val="Style1"/>
        <w:numPr>
          <w:ilvl w:val="0"/>
          <w:numId w:val="0"/>
        </w:numPr>
        <w:ind w:left="720"/>
        <w:jc w:val="both"/>
        <w:rPr>
          <w:sz w:val="20"/>
        </w:rPr>
      </w:pPr>
    </w:p>
    <w:p w:rsidR="003F1CF9" w:rsidRPr="00EB5A61" w:rsidRDefault="003F1CF9" w:rsidP="003F1CF9">
      <w:pPr>
        <w:pStyle w:val="Style1"/>
        <w:jc w:val="both"/>
        <w:rPr>
          <w:iCs/>
        </w:rPr>
      </w:pPr>
      <w:r w:rsidRPr="00284D75">
        <w:t xml:space="preserve">Les offres seront ouvertes en présence des représentants des soumissionnaires qui souhaitent assister à l’ouverture des plis </w:t>
      </w:r>
      <w:r w:rsidRPr="00BE6397">
        <w:t xml:space="preserve">le </w:t>
      </w:r>
      <w:r>
        <w:t>15 juillet 2026 à 10 heures précises</w:t>
      </w:r>
      <w:r w:rsidRPr="00284D75">
        <w:t xml:space="preserve"> à l’adresse suivante : </w:t>
      </w:r>
      <w:r>
        <w:t>Salle de réunion du</w:t>
      </w:r>
      <w:r>
        <w:rPr>
          <w:sz w:val="23"/>
          <w:szCs w:val="23"/>
        </w:rPr>
        <w:t xml:space="preserve"> Rectorat de l’USSG</w:t>
      </w:r>
      <w:r w:rsidRPr="0090792D">
        <w:rPr>
          <w:sz w:val="23"/>
          <w:szCs w:val="23"/>
        </w:rPr>
        <w:t>B.</w:t>
      </w:r>
    </w:p>
    <w:p w:rsidR="003F1CF9" w:rsidRDefault="003F1CF9" w:rsidP="003F1CF9">
      <w:pPr>
        <w:pStyle w:val="Paragraphedeliste"/>
        <w:jc w:val="both"/>
        <w:rPr>
          <w:iCs/>
        </w:rPr>
      </w:pPr>
    </w:p>
    <w:p w:rsidR="003F1CF9" w:rsidRPr="00BC0ACE" w:rsidRDefault="003F1CF9" w:rsidP="003F1CF9">
      <w:pPr>
        <w:pStyle w:val="Style1"/>
        <w:numPr>
          <w:ilvl w:val="0"/>
          <w:numId w:val="0"/>
        </w:numPr>
        <w:ind w:left="720"/>
        <w:jc w:val="both"/>
        <w:rPr>
          <w:iCs/>
        </w:rPr>
      </w:pPr>
    </w:p>
    <w:p w:rsidR="003F1CF9" w:rsidRPr="002C7753" w:rsidRDefault="003F1CF9" w:rsidP="003F1CF9">
      <w:pPr>
        <w:spacing w:after="200"/>
        <w:jc w:val="both"/>
        <w:rPr>
          <w:iCs/>
        </w:rPr>
      </w:pPr>
      <w:r>
        <w:t xml:space="preserve">                                                                                                       Bamako, le………</w:t>
      </w:r>
    </w:p>
    <w:p w:rsidR="003F1CF9" w:rsidRDefault="003F1CF9" w:rsidP="003F1CF9">
      <w:pPr>
        <w:tabs>
          <w:tab w:val="left" w:pos="900"/>
        </w:tabs>
        <w:suppressAutoHyphens/>
        <w:autoSpaceDN w:val="0"/>
        <w:spacing w:after="200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           </w:t>
      </w:r>
    </w:p>
    <w:p w:rsidR="003F1CF9" w:rsidRPr="003114D3" w:rsidRDefault="003F1CF9" w:rsidP="003F1CF9">
      <w:pPr>
        <w:tabs>
          <w:tab w:val="left" w:pos="6147"/>
        </w:tabs>
        <w:rPr>
          <w:rFonts w:eastAsia="Arial Unicode MS"/>
        </w:rPr>
      </w:pPr>
      <w:r w:rsidRPr="003114D3">
        <w:rPr>
          <w:rFonts w:eastAsia="Arial Unicode MS"/>
        </w:rPr>
        <w:t xml:space="preserve">                                                                                                           </w:t>
      </w:r>
      <w:r w:rsidRPr="003114D3">
        <w:rPr>
          <w:rFonts w:eastAsia="Arial Unicode MS"/>
          <w:b/>
          <w:sz w:val="28"/>
          <w:szCs w:val="28"/>
        </w:rPr>
        <w:t>Le Recteur</w:t>
      </w:r>
      <w:r w:rsidRPr="003114D3">
        <w:rPr>
          <w:rFonts w:eastAsia="Arial Unicode MS"/>
        </w:rPr>
        <w:t xml:space="preserve">                     </w:t>
      </w:r>
    </w:p>
    <w:p w:rsidR="003F1CF9" w:rsidRPr="003114D3" w:rsidRDefault="003F1CF9" w:rsidP="003F1CF9">
      <w:pPr>
        <w:tabs>
          <w:tab w:val="left" w:pos="6147"/>
        </w:tabs>
        <w:rPr>
          <w:rFonts w:eastAsia="Arial Unicode MS"/>
        </w:rPr>
      </w:pPr>
      <w:r w:rsidRPr="003114D3">
        <w:rPr>
          <w:rFonts w:eastAsia="Arial Unicode MS"/>
        </w:rPr>
        <w:t xml:space="preserve">                                                       </w:t>
      </w:r>
      <w:r w:rsidRPr="003114D3">
        <w:rPr>
          <w:rFonts w:eastAsia="Arial Unicode MS"/>
          <w:sz w:val="28"/>
          <w:szCs w:val="28"/>
        </w:rPr>
        <w:t xml:space="preserve">                                  </w:t>
      </w:r>
      <w:r w:rsidRPr="003114D3">
        <w:rPr>
          <w:rFonts w:eastAsia="Arial Unicode MS"/>
        </w:rPr>
        <w:t xml:space="preserve">  </w:t>
      </w:r>
    </w:p>
    <w:p w:rsidR="003F1CF9" w:rsidRDefault="003F1CF9" w:rsidP="003F1CF9">
      <w:pPr>
        <w:tabs>
          <w:tab w:val="left" w:pos="6147"/>
        </w:tabs>
        <w:rPr>
          <w:rFonts w:eastAsia="Arial Unicode MS"/>
        </w:rPr>
      </w:pPr>
    </w:p>
    <w:p w:rsidR="003F1CF9" w:rsidRDefault="003F1CF9" w:rsidP="003F1CF9">
      <w:pPr>
        <w:tabs>
          <w:tab w:val="left" w:pos="6147"/>
        </w:tabs>
        <w:rPr>
          <w:rFonts w:eastAsia="Arial Unicode MS"/>
        </w:rPr>
      </w:pPr>
      <w:r w:rsidRPr="007A453A">
        <w:rPr>
          <w:rFonts w:eastAsia="Arial Unicode MS"/>
        </w:rPr>
        <w:t xml:space="preserve">               </w:t>
      </w:r>
    </w:p>
    <w:p w:rsidR="003F1CF9" w:rsidRPr="007A453A" w:rsidRDefault="003F1CF9" w:rsidP="003F1CF9">
      <w:pPr>
        <w:tabs>
          <w:tab w:val="left" w:pos="6147"/>
        </w:tabs>
        <w:rPr>
          <w:rFonts w:ascii="Calibri" w:eastAsia="Calibri" w:hAnsi="Calibri"/>
          <w:sz w:val="28"/>
          <w:szCs w:val="28"/>
        </w:rPr>
      </w:pPr>
      <w:r w:rsidRPr="007A453A">
        <w:rPr>
          <w:rFonts w:eastAsia="Arial Unicode M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CF9" w:rsidRPr="00D319D0" w:rsidRDefault="003F1CF9" w:rsidP="003F1CF9">
      <w:pPr>
        <w:pStyle w:val="Sansinterligne"/>
        <w:jc w:val="center"/>
        <w:rPr>
          <w:b/>
          <w:u w:val="single"/>
        </w:rPr>
      </w:pPr>
      <w:r w:rsidRPr="0060615C">
        <w:rPr>
          <w:rFonts w:eastAsia="Arial Unicode MS"/>
          <w:b/>
          <w:sz w:val="28"/>
          <w:szCs w:val="28"/>
        </w:rPr>
        <w:t xml:space="preserve">                                   </w:t>
      </w:r>
      <w:r>
        <w:rPr>
          <w:rFonts w:eastAsia="Arial Unicode MS"/>
          <w:b/>
          <w:sz w:val="28"/>
          <w:szCs w:val="28"/>
        </w:rPr>
        <w:t xml:space="preserve">                                  </w:t>
      </w:r>
      <w:r w:rsidRPr="0060615C">
        <w:rPr>
          <w:rFonts w:eastAsia="Arial Unicode MS"/>
          <w:b/>
          <w:sz w:val="28"/>
          <w:szCs w:val="28"/>
        </w:rPr>
        <w:t xml:space="preserve">  </w:t>
      </w:r>
      <w:r w:rsidRPr="0060615C">
        <w:rPr>
          <w:rFonts w:eastAsia="Arial Unicode MS"/>
          <w:b/>
          <w:sz w:val="28"/>
          <w:szCs w:val="28"/>
          <w:u w:val="single"/>
        </w:rPr>
        <w:t xml:space="preserve">Dr </w:t>
      </w:r>
      <w:r>
        <w:rPr>
          <w:rFonts w:eastAsia="Arial Unicode MS"/>
          <w:b/>
          <w:sz w:val="28"/>
          <w:szCs w:val="28"/>
          <w:u w:val="single"/>
        </w:rPr>
        <w:t>Mamadou KOUMARE</w:t>
      </w:r>
    </w:p>
    <w:p w:rsidR="008B70B7" w:rsidRPr="003F1CF9" w:rsidRDefault="003F1CF9" w:rsidP="003F1CF9">
      <w:r w:rsidRPr="00A13876">
        <w:t xml:space="preserve">                                                                                                  </w:t>
      </w:r>
      <w:r>
        <w:t xml:space="preserve">           </w:t>
      </w:r>
      <w:r w:rsidRPr="00A13876">
        <w:rPr>
          <w:b/>
          <w:sz w:val="18"/>
          <w:szCs w:val="18"/>
        </w:rPr>
        <w:t>Maî</w:t>
      </w:r>
      <w:r>
        <w:rPr>
          <w:b/>
          <w:sz w:val="18"/>
          <w:szCs w:val="18"/>
        </w:rPr>
        <w:t>tre de Conférences</w:t>
      </w:r>
      <w:bookmarkStart w:id="1" w:name="_GoBack"/>
      <w:bookmarkEnd w:id="1"/>
    </w:p>
    <w:sectPr w:rsidR="008B70B7" w:rsidRPr="003F1CF9" w:rsidSect="003F7F3E">
      <w:headerReference w:type="even" r:id="rId9"/>
      <w:headerReference w:type="default" r:id="rId10"/>
      <w:footnotePr>
        <w:numRestart w:val="eachSect"/>
      </w:footnotePr>
      <w:pgSz w:w="12240" w:h="15840" w:code="1"/>
      <w:pgMar w:top="864" w:right="1440" w:bottom="1440" w:left="1800" w:header="720" w:footer="720" w:gutter="0"/>
      <w:pgNumType w:fmt="lowerRoman" w:start="12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D0" w:rsidRDefault="00A009D0" w:rsidP="00AC19C9">
      <w:r>
        <w:separator/>
      </w:r>
    </w:p>
  </w:endnote>
  <w:endnote w:type="continuationSeparator" w:id="0">
    <w:p w:rsidR="00A009D0" w:rsidRDefault="00A009D0" w:rsidP="00AC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D0" w:rsidRDefault="00A009D0" w:rsidP="00AC19C9">
      <w:r>
        <w:separator/>
      </w:r>
    </w:p>
  </w:footnote>
  <w:footnote w:type="continuationSeparator" w:id="0">
    <w:p w:rsidR="00A009D0" w:rsidRDefault="00A009D0" w:rsidP="00AC19C9">
      <w:r>
        <w:continuationSeparator/>
      </w:r>
    </w:p>
  </w:footnote>
  <w:footnote w:id="1">
    <w:p w:rsidR="003F1CF9" w:rsidRPr="007E7067" w:rsidRDefault="003F1CF9" w:rsidP="003F1CF9">
      <w:pPr>
        <w:pStyle w:val="Notedebasdepage"/>
      </w:pPr>
      <w:r>
        <w:rPr>
          <w:rStyle w:val="Appelnotedebasdep"/>
        </w:rPr>
        <w:footnoteRef/>
      </w:r>
      <w:r w:rsidRPr="007E7067">
        <w:t xml:space="preserve"> Le prix demandé doit être </w:t>
      </w:r>
      <w:r w:rsidRPr="007E7067">
        <w:rPr>
          <w:b/>
          <w:i/>
        </w:rPr>
        <w:t>un juste prix</w:t>
      </w:r>
      <w:r w:rsidRPr="007E7067">
        <w:t xml:space="preserve"> c’est-à-dire destiné à rembourser l’Autorité contractante du coût d’impression du Dossier d’Appel à Concurrence. Les niveaux du prix ne doivent pas dissuader les candidats de participer à la procédure de mise en concurrence.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726" w:rsidRDefault="00187726" w:rsidP="003F7F3E">
    <w:pPr>
      <w:pStyle w:val="En-tte"/>
      <w:pBdr>
        <w:bottom w:val="single" w:sz="6" w:space="1" w:color="auto"/>
      </w:pBdr>
      <w:rPr>
        <w:rStyle w:val="Numrodepage"/>
      </w:rPr>
    </w:pPr>
    <w:r w:rsidRPr="001F56C0">
      <w:rPr>
        <w:rStyle w:val="Numrodepage"/>
        <w:sz w:val="18"/>
        <w:szCs w:val="18"/>
      </w:rPr>
      <w:t>Modèle de rapport d’évaluation des marchés de travaux et fournitures</w:t>
    </w:r>
    <w:r>
      <w:rPr>
        <w:rStyle w:val="Numrodepage"/>
      </w:rPr>
      <w:tab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30</w:t>
    </w:r>
    <w:r>
      <w:rPr>
        <w:rStyle w:val="Numrodepage"/>
      </w:rPr>
      <w:fldChar w:fldCharType="end"/>
    </w:r>
  </w:p>
  <w:p w:rsidR="00187726" w:rsidRDefault="00187726">
    <w:pPr>
      <w:pStyle w:val="En-tte"/>
      <w:pBdr>
        <w:top w:val="single" w:sz="6" w:space="1" w:color="auto"/>
      </w:pBdr>
      <w:tabs>
        <w:tab w:val="right" w:pos="9360"/>
      </w:tabs>
      <w:jc w:val="both"/>
      <w:rPr>
        <w:rStyle w:val="Numrodepag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726" w:rsidRDefault="00187726" w:rsidP="003F7F3E">
    <w:pPr>
      <w:pStyle w:val="En-tte"/>
      <w:pBdr>
        <w:bottom w:val="single" w:sz="6" w:space="1" w:color="auto"/>
      </w:pBdr>
      <w:rPr>
        <w:rStyle w:val="Numrodepage"/>
      </w:rPr>
    </w:pPr>
    <w:r w:rsidRPr="001F56C0">
      <w:rPr>
        <w:rStyle w:val="Numrodepage"/>
        <w:sz w:val="18"/>
        <w:szCs w:val="18"/>
      </w:rPr>
      <w:t>Modèle de rapport d’évalu</w:t>
    </w:r>
    <w:r>
      <w:rPr>
        <w:rStyle w:val="Numrodepage"/>
        <w:sz w:val="18"/>
        <w:szCs w:val="18"/>
      </w:rPr>
      <w:t xml:space="preserve">ation des marchés </w:t>
    </w:r>
    <w:r w:rsidRPr="001F56C0">
      <w:rPr>
        <w:rStyle w:val="Numrodepage"/>
        <w:sz w:val="18"/>
        <w:szCs w:val="18"/>
      </w:rPr>
      <w:t>fournitures</w:t>
    </w:r>
    <w:r>
      <w:rPr>
        <w:rStyle w:val="Numrodepage"/>
        <w:sz w:val="18"/>
        <w:szCs w:val="18"/>
      </w:rPr>
      <w:t xml:space="preserve"> et services courants</w:t>
    </w:r>
    <w:r>
      <w:rPr>
        <w:rStyle w:val="Numrodepage"/>
        <w:sz w:val="18"/>
        <w:szCs w:val="18"/>
      </w:rPr>
      <w:tab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A009D0">
      <w:rPr>
        <w:rStyle w:val="Numrodepage"/>
        <w:noProof/>
      </w:rPr>
      <w:t>xii</w:t>
    </w:r>
    <w:r>
      <w:rPr>
        <w:rStyle w:val="Numrodepage"/>
      </w:rPr>
      <w:fldChar w:fldCharType="end"/>
    </w:r>
  </w:p>
  <w:p w:rsidR="00187726" w:rsidRDefault="00187726" w:rsidP="003F7F3E">
    <w:pPr>
      <w:pStyle w:val="En-tte"/>
      <w:tabs>
        <w:tab w:val="right" w:pos="8931"/>
      </w:tabs>
      <w:ind w:right="6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3169"/>
    <w:multiLevelType w:val="hybridMultilevel"/>
    <w:tmpl w:val="08C84FA8"/>
    <w:lvl w:ilvl="0" w:tplc="B5C24FA8"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C295C"/>
    <w:multiLevelType w:val="hybridMultilevel"/>
    <w:tmpl w:val="F8407A0E"/>
    <w:lvl w:ilvl="0" w:tplc="30FCBF7A">
      <w:start w:val="3"/>
      <w:numFmt w:val="bullet"/>
      <w:lvlText w:val="-"/>
      <w:lvlJc w:val="left"/>
      <w:pPr>
        <w:ind w:left="198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169334E7"/>
    <w:multiLevelType w:val="hybridMultilevel"/>
    <w:tmpl w:val="E2A8F498"/>
    <w:lvl w:ilvl="0" w:tplc="651E9D6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7432519"/>
    <w:multiLevelType w:val="hybridMultilevel"/>
    <w:tmpl w:val="B0D8BAC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72C8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9282BFB"/>
    <w:multiLevelType w:val="singleLevel"/>
    <w:tmpl w:val="DAFA4F9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AAA7A5F"/>
    <w:multiLevelType w:val="hybridMultilevel"/>
    <w:tmpl w:val="788CF0CE"/>
    <w:lvl w:ilvl="0" w:tplc="44F84708">
      <w:start w:val="1"/>
      <w:numFmt w:val="lowerRoman"/>
      <w:lvlText w:val="%1)"/>
      <w:lvlJc w:val="left"/>
      <w:pPr>
        <w:ind w:left="157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4ED1FA5"/>
    <w:multiLevelType w:val="hybridMultilevel"/>
    <w:tmpl w:val="7F369C6C"/>
    <w:lvl w:ilvl="0" w:tplc="98FA2DE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D4322E"/>
    <w:multiLevelType w:val="hybridMultilevel"/>
    <w:tmpl w:val="5934B4FA"/>
    <w:lvl w:ilvl="0" w:tplc="576677E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E39E8"/>
    <w:multiLevelType w:val="hybridMultilevel"/>
    <w:tmpl w:val="21C6F0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1318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D291968"/>
    <w:multiLevelType w:val="hybridMultilevel"/>
    <w:tmpl w:val="A2F63B66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FBD739E"/>
    <w:multiLevelType w:val="hybridMultilevel"/>
    <w:tmpl w:val="7A50CD1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D63C0B"/>
    <w:multiLevelType w:val="hybridMultilevel"/>
    <w:tmpl w:val="6A769FE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9A79D7"/>
    <w:multiLevelType w:val="hybridMultilevel"/>
    <w:tmpl w:val="B2969A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23C48"/>
    <w:multiLevelType w:val="hybridMultilevel"/>
    <w:tmpl w:val="8D3CCFCC"/>
    <w:lvl w:ilvl="0" w:tplc="DA3601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01C1E"/>
    <w:multiLevelType w:val="hybridMultilevel"/>
    <w:tmpl w:val="C498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D2CB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34D255A"/>
    <w:multiLevelType w:val="hybridMultilevel"/>
    <w:tmpl w:val="7172883C"/>
    <w:lvl w:ilvl="0" w:tplc="9D5AF9A0">
      <w:start w:val="1"/>
      <w:numFmt w:val="lowerRoman"/>
      <w:lvlText w:val="%1)"/>
      <w:lvlJc w:val="left"/>
      <w:pPr>
        <w:ind w:left="1980" w:hanging="360"/>
      </w:pPr>
      <w:rPr>
        <w:rFonts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7E751B1A"/>
    <w:multiLevelType w:val="hybridMultilevel"/>
    <w:tmpl w:val="1FC65EF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7"/>
  </w:num>
  <w:num w:numId="4">
    <w:abstractNumId w:val="8"/>
  </w:num>
  <w:num w:numId="5">
    <w:abstractNumId w:val="3"/>
  </w:num>
  <w:num w:numId="6">
    <w:abstractNumId w:val="1"/>
  </w:num>
  <w:num w:numId="7">
    <w:abstractNumId w:val="18"/>
  </w:num>
  <w:num w:numId="8">
    <w:abstractNumId w:val="19"/>
  </w:num>
  <w:num w:numId="9">
    <w:abstractNumId w:val="15"/>
  </w:num>
  <w:num w:numId="10">
    <w:abstractNumId w:val="5"/>
  </w:num>
  <w:num w:numId="11">
    <w:abstractNumId w:val="6"/>
  </w:num>
  <w:num w:numId="12">
    <w:abstractNumId w:val="11"/>
  </w:num>
  <w:num w:numId="13">
    <w:abstractNumId w:val="0"/>
  </w:num>
  <w:num w:numId="14">
    <w:abstractNumId w:val="14"/>
  </w:num>
  <w:num w:numId="15">
    <w:abstractNumId w:val="16"/>
  </w:num>
  <w:num w:numId="16">
    <w:abstractNumId w:val="9"/>
  </w:num>
  <w:num w:numId="17">
    <w:abstractNumId w:val="13"/>
  </w:num>
  <w:num w:numId="18">
    <w:abstractNumId w:val="1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C9"/>
    <w:rsid w:val="000330B0"/>
    <w:rsid w:val="00053A74"/>
    <w:rsid w:val="00077279"/>
    <w:rsid w:val="000B4276"/>
    <w:rsid w:val="000B6A30"/>
    <w:rsid w:val="000D03C4"/>
    <w:rsid w:val="000E3A3A"/>
    <w:rsid w:val="000E43E8"/>
    <w:rsid w:val="000F4112"/>
    <w:rsid w:val="00126C3C"/>
    <w:rsid w:val="001331A1"/>
    <w:rsid w:val="0013724C"/>
    <w:rsid w:val="0013756B"/>
    <w:rsid w:val="00140104"/>
    <w:rsid w:val="001508E8"/>
    <w:rsid w:val="0015584E"/>
    <w:rsid w:val="001568EE"/>
    <w:rsid w:val="001751A7"/>
    <w:rsid w:val="00187726"/>
    <w:rsid w:val="001B0616"/>
    <w:rsid w:val="001B0771"/>
    <w:rsid w:val="001B0E68"/>
    <w:rsid w:val="001F4B52"/>
    <w:rsid w:val="002065CD"/>
    <w:rsid w:val="002108C0"/>
    <w:rsid w:val="00215356"/>
    <w:rsid w:val="00224887"/>
    <w:rsid w:val="00240A7A"/>
    <w:rsid w:val="00257C3B"/>
    <w:rsid w:val="002852A8"/>
    <w:rsid w:val="002B3975"/>
    <w:rsid w:val="002C1F35"/>
    <w:rsid w:val="002D78BC"/>
    <w:rsid w:val="002E203F"/>
    <w:rsid w:val="00307E50"/>
    <w:rsid w:val="00315351"/>
    <w:rsid w:val="00316DFA"/>
    <w:rsid w:val="00342049"/>
    <w:rsid w:val="00360ED3"/>
    <w:rsid w:val="003660C4"/>
    <w:rsid w:val="003D6BD3"/>
    <w:rsid w:val="003D709B"/>
    <w:rsid w:val="003E037F"/>
    <w:rsid w:val="003F1CF9"/>
    <w:rsid w:val="003F7F3E"/>
    <w:rsid w:val="004001B9"/>
    <w:rsid w:val="004110B7"/>
    <w:rsid w:val="00412644"/>
    <w:rsid w:val="00425004"/>
    <w:rsid w:val="00450A14"/>
    <w:rsid w:val="004669AF"/>
    <w:rsid w:val="004704DB"/>
    <w:rsid w:val="004B57D2"/>
    <w:rsid w:val="004B63D6"/>
    <w:rsid w:val="004D681D"/>
    <w:rsid w:val="004F0BFB"/>
    <w:rsid w:val="00524AE5"/>
    <w:rsid w:val="005856AF"/>
    <w:rsid w:val="005857BD"/>
    <w:rsid w:val="005B232A"/>
    <w:rsid w:val="005E20D8"/>
    <w:rsid w:val="005F59E9"/>
    <w:rsid w:val="006055AB"/>
    <w:rsid w:val="006136F4"/>
    <w:rsid w:val="006263D7"/>
    <w:rsid w:val="00632D03"/>
    <w:rsid w:val="00646E9D"/>
    <w:rsid w:val="00656618"/>
    <w:rsid w:val="0066121C"/>
    <w:rsid w:val="00696AE1"/>
    <w:rsid w:val="006D0E69"/>
    <w:rsid w:val="006D2AEC"/>
    <w:rsid w:val="007346A0"/>
    <w:rsid w:val="007524EA"/>
    <w:rsid w:val="007937A4"/>
    <w:rsid w:val="007B0455"/>
    <w:rsid w:val="007B7A82"/>
    <w:rsid w:val="00811C37"/>
    <w:rsid w:val="00836FF2"/>
    <w:rsid w:val="00860B78"/>
    <w:rsid w:val="00896C7D"/>
    <w:rsid w:val="008A2739"/>
    <w:rsid w:val="008B70B7"/>
    <w:rsid w:val="008C6D29"/>
    <w:rsid w:val="008C7F7A"/>
    <w:rsid w:val="008D2D06"/>
    <w:rsid w:val="008F1A7B"/>
    <w:rsid w:val="0090541D"/>
    <w:rsid w:val="00916E59"/>
    <w:rsid w:val="0093253F"/>
    <w:rsid w:val="0094142B"/>
    <w:rsid w:val="00943CB5"/>
    <w:rsid w:val="00993912"/>
    <w:rsid w:val="009A1C94"/>
    <w:rsid w:val="009A496A"/>
    <w:rsid w:val="009A6107"/>
    <w:rsid w:val="009A7003"/>
    <w:rsid w:val="009C11B8"/>
    <w:rsid w:val="009E13FE"/>
    <w:rsid w:val="00A006F9"/>
    <w:rsid w:val="00A009D0"/>
    <w:rsid w:val="00A056E6"/>
    <w:rsid w:val="00A10166"/>
    <w:rsid w:val="00A12504"/>
    <w:rsid w:val="00A613FE"/>
    <w:rsid w:val="00A64975"/>
    <w:rsid w:val="00A6757B"/>
    <w:rsid w:val="00A71F57"/>
    <w:rsid w:val="00A727AC"/>
    <w:rsid w:val="00A76E53"/>
    <w:rsid w:val="00A77825"/>
    <w:rsid w:val="00AA1D69"/>
    <w:rsid w:val="00AC19C9"/>
    <w:rsid w:val="00AD503D"/>
    <w:rsid w:val="00AD6687"/>
    <w:rsid w:val="00B04698"/>
    <w:rsid w:val="00B1137D"/>
    <w:rsid w:val="00B224BD"/>
    <w:rsid w:val="00B24406"/>
    <w:rsid w:val="00B36B1D"/>
    <w:rsid w:val="00B650D5"/>
    <w:rsid w:val="00B76EF0"/>
    <w:rsid w:val="00B82ED1"/>
    <w:rsid w:val="00B83DF0"/>
    <w:rsid w:val="00BA0509"/>
    <w:rsid w:val="00BA6BE0"/>
    <w:rsid w:val="00BB5828"/>
    <w:rsid w:val="00BF0E9B"/>
    <w:rsid w:val="00C107B8"/>
    <w:rsid w:val="00C217B4"/>
    <w:rsid w:val="00C85811"/>
    <w:rsid w:val="00CA0CED"/>
    <w:rsid w:val="00CB0E24"/>
    <w:rsid w:val="00D00612"/>
    <w:rsid w:val="00D0068D"/>
    <w:rsid w:val="00D246E4"/>
    <w:rsid w:val="00D41443"/>
    <w:rsid w:val="00D660EF"/>
    <w:rsid w:val="00D74CB9"/>
    <w:rsid w:val="00D8518A"/>
    <w:rsid w:val="00D95F7E"/>
    <w:rsid w:val="00DB1350"/>
    <w:rsid w:val="00DB1C28"/>
    <w:rsid w:val="00DF17CC"/>
    <w:rsid w:val="00DF1B81"/>
    <w:rsid w:val="00DF57B0"/>
    <w:rsid w:val="00E060F7"/>
    <w:rsid w:val="00E3129D"/>
    <w:rsid w:val="00E4334E"/>
    <w:rsid w:val="00E70D63"/>
    <w:rsid w:val="00E92087"/>
    <w:rsid w:val="00E92FBE"/>
    <w:rsid w:val="00EB7836"/>
    <w:rsid w:val="00EC43C0"/>
    <w:rsid w:val="00EE2F0B"/>
    <w:rsid w:val="00EE6D08"/>
    <w:rsid w:val="00F1335C"/>
    <w:rsid w:val="00F23CFF"/>
    <w:rsid w:val="00F25F32"/>
    <w:rsid w:val="00F30FEB"/>
    <w:rsid w:val="00F63E5B"/>
    <w:rsid w:val="00F77B9F"/>
    <w:rsid w:val="00F815EE"/>
    <w:rsid w:val="00FA30DA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00A5"/>
  <w15:chartTrackingRefBased/>
  <w15:docId w15:val="{375CE3C4-6347-4597-AB1E-7E1D7C0A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AC19C9"/>
    <w:pPr>
      <w:keepNext/>
      <w:jc w:val="center"/>
      <w:outlineLvl w:val="0"/>
    </w:pPr>
    <w:rPr>
      <w:b/>
      <w:i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AC19C9"/>
    <w:pPr>
      <w:keepNext/>
      <w:outlineLvl w:val="1"/>
    </w:pPr>
    <w:rPr>
      <w:b/>
      <w:sz w:val="22"/>
      <w:szCs w:val="20"/>
    </w:rPr>
  </w:style>
  <w:style w:type="paragraph" w:styleId="Titre3">
    <w:name w:val="heading 3"/>
    <w:basedOn w:val="Normal"/>
    <w:next w:val="Normal"/>
    <w:link w:val="Titre3Car"/>
    <w:unhideWhenUsed/>
    <w:qFormat/>
    <w:rsid w:val="00AC19C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re5">
    <w:name w:val="heading 5"/>
    <w:basedOn w:val="Normal"/>
    <w:next w:val="Normal"/>
    <w:link w:val="Titre5Car"/>
    <w:qFormat/>
    <w:rsid w:val="00AC19C9"/>
    <w:pPr>
      <w:keepNext/>
      <w:jc w:val="center"/>
      <w:outlineLvl w:val="4"/>
    </w:pPr>
    <w:rPr>
      <w:b/>
      <w:sz w:val="22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C19C9"/>
    <w:rPr>
      <w:rFonts w:ascii="Times New Roman" w:eastAsia="Times New Roman" w:hAnsi="Times New Roman" w:cs="Times New Roman"/>
      <w:b/>
      <w:i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rsid w:val="00AC19C9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rsid w:val="00AC19C9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re5Car">
    <w:name w:val="Titre 5 Car"/>
    <w:basedOn w:val="Policepardfaut"/>
    <w:link w:val="Titre5"/>
    <w:rsid w:val="00AC19C9"/>
    <w:rPr>
      <w:rFonts w:ascii="Times New Roman" w:eastAsia="Times New Roman" w:hAnsi="Times New Roman" w:cs="Times New Roman"/>
      <w:b/>
      <w:szCs w:val="20"/>
      <w:u w:val="single"/>
      <w:lang w:val="fr-FR" w:eastAsia="fr-FR"/>
    </w:rPr>
  </w:style>
  <w:style w:type="paragraph" w:styleId="En-tte">
    <w:name w:val="header"/>
    <w:basedOn w:val="Normal"/>
    <w:link w:val="En-tteCar"/>
    <w:uiPriority w:val="99"/>
    <w:rsid w:val="00AC19C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AC19C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semiHidden/>
    <w:rsid w:val="00AC19C9"/>
    <w:pPr>
      <w:jc w:val="both"/>
    </w:pPr>
    <w:rPr>
      <w:sz w:val="22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AC19C9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Corpsdetexte2">
    <w:name w:val="Body Text 2"/>
    <w:basedOn w:val="Normal"/>
    <w:link w:val="Corpsdetexte2Car"/>
    <w:semiHidden/>
    <w:rsid w:val="00AC19C9"/>
    <w:rPr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semiHidden/>
    <w:rsid w:val="00AC19C9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Retraitcorpsdetexte">
    <w:name w:val="Body Text Indent"/>
    <w:basedOn w:val="Normal"/>
    <w:link w:val="RetraitcorpsdetexteCar"/>
    <w:semiHidden/>
    <w:rsid w:val="00AC19C9"/>
    <w:pPr>
      <w:ind w:firstLine="360"/>
      <w:jc w:val="both"/>
    </w:pPr>
    <w:rPr>
      <w:sz w:val="22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AC19C9"/>
    <w:rPr>
      <w:rFonts w:ascii="Times New Roman" w:eastAsia="Times New Roman" w:hAnsi="Times New Roman" w:cs="Times New Roman"/>
      <w:szCs w:val="24"/>
      <w:lang w:val="fr-FR" w:eastAsia="fr-FR"/>
    </w:rPr>
  </w:style>
  <w:style w:type="paragraph" w:styleId="Corpsdetexte3">
    <w:name w:val="Body Text 3"/>
    <w:basedOn w:val="Normal"/>
    <w:link w:val="Corpsdetexte3Car"/>
    <w:semiHidden/>
    <w:rsid w:val="00AC19C9"/>
    <w:pPr>
      <w:ind w:right="-109"/>
    </w:pPr>
    <w:rPr>
      <w:sz w:val="22"/>
    </w:rPr>
  </w:style>
  <w:style w:type="character" w:customStyle="1" w:styleId="Corpsdetexte3Car">
    <w:name w:val="Corps de texte 3 Car"/>
    <w:basedOn w:val="Policepardfaut"/>
    <w:link w:val="Corpsdetexte3"/>
    <w:semiHidden/>
    <w:rsid w:val="00AC19C9"/>
    <w:rPr>
      <w:rFonts w:ascii="Times New Roman" w:eastAsia="Times New Roman" w:hAnsi="Times New Roman" w:cs="Times New Roman"/>
      <w:szCs w:val="24"/>
      <w:lang w:val="fr-FR" w:eastAsia="fr-FR"/>
    </w:rPr>
  </w:style>
  <w:style w:type="character" w:styleId="Numrodepage">
    <w:name w:val="page number"/>
    <w:basedOn w:val="Policepardfaut"/>
    <w:rsid w:val="00AC19C9"/>
  </w:style>
  <w:style w:type="paragraph" w:styleId="Textedebulles">
    <w:name w:val="Balloon Text"/>
    <w:basedOn w:val="Normal"/>
    <w:link w:val="TextedebullesCar"/>
    <w:uiPriority w:val="99"/>
    <w:semiHidden/>
    <w:unhideWhenUsed/>
    <w:rsid w:val="00AC19C9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19C9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C19C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C19C9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iPriority w:val="99"/>
    <w:semiHidden/>
    <w:unhideWhenUsed/>
    <w:rsid w:val="00AC19C9"/>
    <w:rPr>
      <w:vertAlign w:val="superscript"/>
    </w:rPr>
  </w:style>
  <w:style w:type="table" w:styleId="Grilledutableau">
    <w:name w:val="Table Grid"/>
    <w:basedOn w:val="TableauNormal"/>
    <w:uiPriority w:val="39"/>
    <w:rsid w:val="00AC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AC19C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AC19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AC19C9"/>
    <w:pPr>
      <w:spacing w:before="100" w:beforeAutospacing="1" w:after="100" w:afterAutospacing="1"/>
    </w:pPr>
  </w:style>
  <w:style w:type="paragraph" w:styleId="Sansinterligne">
    <w:name w:val="No Spacing"/>
    <w:link w:val="SansinterligneCar"/>
    <w:uiPriority w:val="1"/>
    <w:qFormat/>
    <w:rsid w:val="003D6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link w:val="ParagraphedelisteCar"/>
    <w:qFormat/>
    <w:rsid w:val="00F23CFF"/>
    <w:pPr>
      <w:ind w:left="720"/>
      <w:contextualSpacing/>
    </w:pPr>
  </w:style>
  <w:style w:type="character" w:customStyle="1" w:styleId="ParagraphedelisteCar">
    <w:name w:val="Paragraphe de liste Car"/>
    <w:link w:val="Paragraphedeliste"/>
    <w:rsid w:val="00B82ED1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Style1">
    <w:name w:val="Style1"/>
    <w:basedOn w:val="Normal"/>
    <w:rsid w:val="0013724C"/>
    <w:pPr>
      <w:numPr>
        <w:numId w:val="19"/>
      </w:numPr>
    </w:pPr>
    <w:rPr>
      <w:b/>
      <w:szCs w:val="20"/>
    </w:rPr>
  </w:style>
  <w:style w:type="character" w:customStyle="1" w:styleId="SansinterligneCar">
    <w:name w:val="Sans interligne Car"/>
    <w:link w:val="Sansinterligne"/>
    <w:uiPriority w:val="1"/>
    <w:rsid w:val="0013724C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8121E-8BCB-4562-80EB-FBC7F138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    I Avis d’Appel à la concurrence</vt:lpstr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2024-01-15T01:16:00Z</cp:lastPrinted>
  <dcterms:created xsi:type="dcterms:W3CDTF">2021-12-15T06:28:00Z</dcterms:created>
  <dcterms:modified xsi:type="dcterms:W3CDTF">2113-01-09T14:57:00Z</dcterms:modified>
</cp:coreProperties>
</file>