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5C91" w14:textId="77777777" w:rsidR="00757D9F" w:rsidRPr="007A09CF" w:rsidRDefault="00757D9F" w:rsidP="00757D9F">
      <w:pPr>
        <w:rPr>
          <w:rFonts w:ascii="Cambria" w:hAnsi="Cambria"/>
          <w:b/>
          <w:sz w:val="20"/>
          <w:szCs w:val="20"/>
        </w:rPr>
      </w:pPr>
      <w:r w:rsidRPr="007A09CF">
        <w:rPr>
          <w:rFonts w:ascii="Cambria" w:hAnsi="Cambria"/>
          <w:b/>
          <w:iCs/>
          <w:sz w:val="20"/>
          <w:szCs w:val="20"/>
        </w:rPr>
        <w:t>MINISTERE DE</w:t>
      </w:r>
      <w:r>
        <w:rPr>
          <w:rFonts w:ascii="Cambria" w:hAnsi="Cambria"/>
          <w:b/>
          <w:iCs/>
          <w:sz w:val="20"/>
          <w:szCs w:val="20"/>
        </w:rPr>
        <w:t xml:space="preserve"> </w:t>
      </w:r>
      <w:r w:rsidRPr="007A09CF">
        <w:rPr>
          <w:rFonts w:ascii="Cambria" w:hAnsi="Cambria"/>
          <w:b/>
          <w:iCs/>
          <w:sz w:val="20"/>
          <w:szCs w:val="20"/>
        </w:rPr>
        <w:t>L’ENSEIGNEMENT</w:t>
      </w:r>
      <w:r>
        <w:rPr>
          <w:rFonts w:ascii="Cambria" w:hAnsi="Cambria"/>
          <w:b/>
          <w:iCs/>
          <w:sz w:val="20"/>
          <w:szCs w:val="20"/>
        </w:rPr>
        <w:t xml:space="preserve"> SUPERIEUR                                                </w:t>
      </w:r>
      <w:r w:rsidRPr="007A09CF">
        <w:rPr>
          <w:rFonts w:ascii="Cambria" w:hAnsi="Cambria"/>
          <w:b/>
          <w:iCs/>
          <w:sz w:val="20"/>
          <w:szCs w:val="20"/>
        </w:rPr>
        <w:t>REPUBLIQUE DU MALI</w:t>
      </w:r>
    </w:p>
    <w:p w14:paraId="4F4EE4F1" w14:textId="77777777" w:rsidR="00757D9F" w:rsidRPr="007A09CF" w:rsidRDefault="00757D9F" w:rsidP="00757D9F">
      <w:pPr>
        <w:pBdr>
          <w:bottom w:val="thickThinSmallGap" w:sz="24" w:space="1" w:color="auto"/>
        </w:pBdr>
        <w:shd w:val="clear" w:color="auto" w:fill="FFFFFF"/>
        <w:rPr>
          <w:rFonts w:ascii="Cambria" w:hAnsi="Cambria"/>
          <w:b/>
          <w:iCs/>
          <w:sz w:val="20"/>
          <w:szCs w:val="20"/>
        </w:rPr>
      </w:pPr>
      <w:r>
        <w:rPr>
          <w:rFonts w:ascii="Cambria" w:hAnsi="Cambria"/>
          <w:b/>
          <w:iCs/>
          <w:sz w:val="20"/>
          <w:szCs w:val="20"/>
        </w:rPr>
        <w:t xml:space="preserve">ET DE LA RECHERCHE SCIENTIFIQUE                                                          UN PEUPLE – UN BUT - UNE FOI                                                                                                                                       </w:t>
      </w:r>
    </w:p>
    <w:p w14:paraId="20B1C938" w14:textId="77777777" w:rsidR="00757D9F" w:rsidRPr="007A09CF" w:rsidRDefault="00757D9F" w:rsidP="00757D9F">
      <w:pPr>
        <w:pBdr>
          <w:bottom w:val="thickThinSmallGap" w:sz="24" w:space="1" w:color="auto"/>
        </w:pBdr>
        <w:shd w:val="clear" w:color="auto" w:fill="FFFFFF"/>
        <w:rPr>
          <w:rFonts w:ascii="Cambria" w:hAnsi="Cambria"/>
          <w:b/>
          <w:iCs/>
          <w:sz w:val="20"/>
          <w:szCs w:val="20"/>
        </w:rPr>
      </w:pPr>
      <w:r>
        <w:rPr>
          <w:noProof/>
          <w:lang w:val="en-US" w:eastAsia="en-US"/>
        </w:rPr>
        <mc:AlternateContent>
          <mc:Choice Requires="wps">
            <w:drawing>
              <wp:anchor distT="0" distB="0" distL="114300" distR="114300" simplePos="0" relativeHeight="251660288" behindDoc="0" locked="0" layoutInCell="1" allowOverlap="1" wp14:anchorId="1D37245D" wp14:editId="677AB8C2">
                <wp:simplePos x="0" y="0"/>
                <wp:positionH relativeFrom="margin">
                  <wp:align>center</wp:align>
                </wp:positionH>
                <wp:positionV relativeFrom="paragraph">
                  <wp:posOffset>98425</wp:posOffset>
                </wp:positionV>
                <wp:extent cx="2266315" cy="496570"/>
                <wp:effectExtent l="0" t="0" r="0" b="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266315" cy="496570"/>
                        </a:xfrm>
                        <a:prstGeom prst="rect">
                          <a:avLst/>
                        </a:prstGeom>
                      </wps:spPr>
                      <wps:txbx>
                        <w:txbxContent>
                          <w:p w14:paraId="5DBCEC3A" w14:textId="77777777" w:rsidR="00757D9F" w:rsidRPr="00755ED2" w:rsidRDefault="00757D9F" w:rsidP="00757D9F">
                            <w:pPr>
                              <w:pStyle w:val="NormalWeb"/>
                              <w:spacing w:before="0" w:beforeAutospacing="0" w:after="0" w:afterAutospacing="0"/>
                              <w:jc w:val="center"/>
                              <w:rPr>
                                <w:sz w:val="20"/>
                              </w:rPr>
                            </w:pPr>
                            <w:r w:rsidRPr="00755ED2">
                              <w:rPr>
                                <w:rFonts w:ascii="Arial Black" w:hAnsi="Arial Black"/>
                                <w:color w:val="0070C0"/>
                                <w:sz w:val="52"/>
                                <w:szCs w:val="72"/>
                              </w:rPr>
                              <w:t>RECTORAT</w:t>
                            </w:r>
                          </w:p>
                        </w:txbxContent>
                      </wps:txbx>
                      <wps:bodyPr wrap="square" numCol="1" fromWordArt="1">
                        <a:prstTxWarp prst="textWave1">
                          <a:avLst>
                            <a:gd name="adj1" fmla="val 4421"/>
                            <a:gd name="adj2" fmla="val -519"/>
                          </a:avLst>
                        </a:prstTxWarp>
                        <a:noAutofit/>
                      </wps:bodyPr>
                    </wps:wsp>
                  </a:graphicData>
                </a:graphic>
                <wp14:sizeRelH relativeFrom="page">
                  <wp14:pctWidth>0</wp14:pctWidth>
                </wp14:sizeRelH>
                <wp14:sizeRelV relativeFrom="page">
                  <wp14:pctHeight>0</wp14:pctHeight>
                </wp14:sizeRelV>
              </wp:anchor>
            </w:drawing>
          </mc:Choice>
          <mc:Fallback>
            <w:pict>
              <v:shapetype w14:anchorId="1D37245D" id="_x0000_t202" coordsize="21600,21600" o:spt="202" path="m,l,21600r21600,l21600,xe">
                <v:stroke joinstyle="miter"/>
                <v:path gradientshapeok="t" o:connecttype="rect"/>
              </v:shapetype>
              <v:shape id="Zone de texte 1" o:spid="_x0000_s1026" type="#_x0000_t202" style="position:absolute;margin-left:0;margin-top:7.75pt;width:178.45pt;height:39.1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" filled="f" stroked="f">
                <o:lock v:ext="edit" shapetype="t"/>
                <v:textbox>
                  <w:txbxContent>
                    <w:p w14:paraId="5DBCEC3A" w14:textId="77777777" w:rsidR="00757D9F" w:rsidRPr="00755ED2" w:rsidRDefault="00757D9F" w:rsidP="00757D9F">
                      <w:pPr>
                        <w:pStyle w:val="NormalWeb"/>
                        <w:spacing w:before="0" w:beforeAutospacing="0" w:after="0" w:afterAutospacing="0"/>
                        <w:jc w:val="center"/>
                        <w:rPr>
                          <w:sz w:val="20"/>
                        </w:rPr>
                      </w:pPr>
                      <w:r w:rsidRPr="00755ED2">
                        <w:rPr>
                          <w:rFonts w:ascii="Arial Black" w:hAnsi="Arial Black"/>
                          <w:color w:val="0070C0"/>
                          <w:sz w:val="52"/>
                          <w:szCs w:val="72"/>
                        </w:rPr>
                        <w:t>RECTORAT</w:t>
                      </w:r>
                    </w:p>
                  </w:txbxContent>
                </v:textbox>
                <w10:wrap anchorx="margin"/>
              </v:shape>
            </w:pict>
          </mc:Fallback>
        </mc:AlternateContent>
      </w:r>
    </w:p>
    <w:p w14:paraId="5F8130C0" w14:textId="77777777" w:rsidR="00757D9F" w:rsidRPr="007A09CF" w:rsidRDefault="00757D9F" w:rsidP="00757D9F">
      <w:pPr>
        <w:pBdr>
          <w:bottom w:val="thickThinSmallGap" w:sz="24" w:space="1" w:color="auto"/>
        </w:pBdr>
        <w:shd w:val="clear" w:color="auto" w:fill="FFFFFF"/>
        <w:rPr>
          <w:rFonts w:ascii="Cambria" w:hAnsi="Cambria"/>
          <w:b/>
          <w:iCs/>
          <w:sz w:val="48"/>
          <w:szCs w:val="20"/>
        </w:rPr>
      </w:pPr>
      <w:r>
        <w:rPr>
          <w:rFonts w:ascii="Cambria" w:hAnsi="Cambria"/>
          <w:b/>
          <w:iCs/>
          <w:noProof/>
          <w:sz w:val="20"/>
          <w:szCs w:val="20"/>
          <w:lang w:val="en-US" w:eastAsia="en-US"/>
        </w:rPr>
        <w:drawing>
          <wp:anchor distT="0" distB="0" distL="114300" distR="114300" simplePos="0" relativeHeight="251659264" behindDoc="0" locked="0" layoutInCell="1" allowOverlap="1" wp14:anchorId="6A0ED46C" wp14:editId="55F82D4B">
            <wp:simplePos x="0" y="0"/>
            <wp:positionH relativeFrom="margin">
              <wp:posOffset>-66675</wp:posOffset>
            </wp:positionH>
            <wp:positionV relativeFrom="paragraph">
              <wp:posOffset>87630</wp:posOffset>
            </wp:positionV>
            <wp:extent cx="1104900" cy="494030"/>
            <wp:effectExtent l="0" t="0" r="0" b="1270"/>
            <wp:wrapNone/>
            <wp:docPr id="4" name="Image 10" descr="D:\Logoty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D:\Logotype.jpg"/>
                    <pic:cNvPicPr>
                      <a:picLocks noChangeAspect="1" noChangeArrowheads="1"/>
                    </pic:cNvPicPr>
                  </pic:nvPicPr>
                  <pic:blipFill>
                    <a:blip r:embed="rId5" cstate="print"/>
                    <a:srcRect/>
                    <a:stretch>
                      <a:fillRect/>
                    </a:stretch>
                  </pic:blipFill>
                  <pic:spPr bwMode="auto">
                    <a:xfrm>
                      <a:off x="0" y="0"/>
                      <a:ext cx="1117089" cy="4994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A38138F" w14:textId="77777777" w:rsidR="00757D9F" w:rsidRDefault="00757D9F" w:rsidP="00757D9F">
      <w:pPr>
        <w:pBdr>
          <w:bottom w:val="thickThinSmallGap" w:sz="24" w:space="1" w:color="auto"/>
        </w:pBdr>
        <w:rPr>
          <w:b/>
          <w:bCs/>
          <w:sz w:val="22"/>
          <w:szCs w:val="22"/>
        </w:rPr>
      </w:pPr>
    </w:p>
    <w:p w14:paraId="54533EAC" w14:textId="77777777" w:rsidR="00757D9F" w:rsidRDefault="00757D9F" w:rsidP="00757D9F">
      <w:pPr>
        <w:pBdr>
          <w:bottom w:val="thickThinSmallGap" w:sz="24" w:space="1" w:color="auto"/>
        </w:pBdr>
        <w:rPr>
          <w:b/>
          <w:bCs/>
          <w:sz w:val="22"/>
          <w:szCs w:val="22"/>
        </w:rPr>
      </w:pPr>
    </w:p>
    <w:p w14:paraId="189831B7" w14:textId="77777777" w:rsidR="00757D9F" w:rsidRPr="002B4E23" w:rsidRDefault="00757D9F" w:rsidP="00757D9F">
      <w:pPr>
        <w:pBdr>
          <w:bottom w:val="thickThinSmallGap" w:sz="24" w:space="1" w:color="auto"/>
        </w:pBdr>
        <w:rPr>
          <w:b/>
          <w:bCs/>
          <w:sz w:val="22"/>
          <w:szCs w:val="22"/>
        </w:rPr>
      </w:pPr>
      <w:r>
        <w:rPr>
          <w:b/>
          <w:bCs/>
          <w:sz w:val="22"/>
          <w:szCs w:val="22"/>
        </w:rPr>
        <w:t>Service des Finances</w:t>
      </w:r>
      <w:r>
        <w:rPr>
          <w:b/>
          <w:bCs/>
          <w:sz w:val="22"/>
          <w:szCs w:val="22"/>
        </w:rPr>
        <w:tab/>
      </w:r>
    </w:p>
    <w:p w14:paraId="21B7FC2B" w14:textId="77777777" w:rsidR="00757D9F" w:rsidRPr="006C7B0E" w:rsidRDefault="00757D9F" w:rsidP="00757D9F"/>
    <w:p w14:paraId="2A51CA6D" w14:textId="77777777" w:rsidR="00757D9F" w:rsidRPr="006C7B0E" w:rsidRDefault="00757D9F" w:rsidP="00757D9F">
      <w:pPr>
        <w:spacing w:line="360" w:lineRule="auto"/>
        <w:jc w:val="center"/>
        <w:rPr>
          <w:b/>
          <w:sz w:val="32"/>
          <w:szCs w:val="32"/>
        </w:rPr>
      </w:pPr>
      <w:r w:rsidRPr="006C7B0E">
        <w:rPr>
          <w:b/>
          <w:sz w:val="32"/>
          <w:szCs w:val="32"/>
        </w:rPr>
        <w:t>Avis d’Appel à la concurrence</w:t>
      </w:r>
    </w:p>
    <w:p w14:paraId="1ECF720B" w14:textId="77777777" w:rsidR="00757D9F" w:rsidRPr="006C7B0E" w:rsidRDefault="00757D9F" w:rsidP="00757D9F">
      <w:pPr>
        <w:spacing w:line="360" w:lineRule="auto"/>
        <w:jc w:val="center"/>
        <w:rPr>
          <w:b/>
          <w:bCs/>
          <w:i/>
          <w:iCs/>
        </w:rPr>
      </w:pPr>
      <w:r>
        <w:rPr>
          <w:b/>
          <w:bCs/>
          <w:i/>
          <w:iCs/>
        </w:rPr>
        <w:t>UNIVERSITE DES SCIENCES SOCIALES ET DE GESTION DE BAMAKO</w:t>
      </w:r>
    </w:p>
    <w:p w14:paraId="1756DD8D" w14:textId="77777777" w:rsidR="00757D9F" w:rsidRPr="006C7B0E" w:rsidRDefault="00757D9F" w:rsidP="00757D9F">
      <w:pPr>
        <w:spacing w:line="360" w:lineRule="auto"/>
        <w:jc w:val="center"/>
        <w:rPr>
          <w:b/>
          <w:bCs/>
          <w:i/>
          <w:iCs/>
        </w:rPr>
      </w:pPr>
      <w:r>
        <w:rPr>
          <w:b/>
          <w:bCs/>
          <w:i/>
          <w:iCs/>
        </w:rPr>
        <w:t xml:space="preserve">DRPCO </w:t>
      </w:r>
      <w:r w:rsidRPr="001931C7">
        <w:rPr>
          <w:iCs/>
        </w:rPr>
        <w:t>N</w:t>
      </w:r>
      <w:r w:rsidRPr="00B634B0">
        <w:rPr>
          <w:b/>
          <w:bCs/>
          <w:i/>
          <w:iCs/>
        </w:rPr>
        <w:t>°0</w:t>
      </w:r>
      <w:r>
        <w:rPr>
          <w:b/>
          <w:bCs/>
          <w:i/>
          <w:iCs/>
        </w:rPr>
        <w:t>465/T-2026</w:t>
      </w:r>
    </w:p>
    <w:p w14:paraId="7A7E1D9F" w14:textId="77777777" w:rsidR="00757D9F" w:rsidRPr="001931C7" w:rsidRDefault="00757D9F" w:rsidP="00757D9F">
      <w:pPr>
        <w:numPr>
          <w:ilvl w:val="0"/>
          <w:numId w:val="1"/>
        </w:numPr>
        <w:spacing w:line="360" w:lineRule="auto"/>
        <w:ind w:left="0" w:firstLine="0"/>
        <w:jc w:val="both"/>
      </w:pPr>
      <w:r>
        <w:t>L’Université des Sciences Sociales et de Gestion de Bamako</w:t>
      </w:r>
      <w:r w:rsidRPr="006C7B0E">
        <w:t xml:space="preserve"> </w:t>
      </w:r>
      <w:r w:rsidRPr="006C7B0E">
        <w:rPr>
          <w:iCs/>
        </w:rPr>
        <w:t>dispose de</w:t>
      </w:r>
      <w:r w:rsidRPr="006C7B0E">
        <w:rPr>
          <w:i/>
          <w:iCs/>
        </w:rPr>
        <w:t xml:space="preserve"> </w:t>
      </w:r>
      <w:r w:rsidRPr="006C7B0E">
        <w:t>fonds sur le budget de l’État afin de financer</w:t>
      </w:r>
      <w:r w:rsidRPr="006C7B0E">
        <w:rPr>
          <w:i/>
          <w:iCs/>
        </w:rPr>
        <w:t xml:space="preserve"> </w:t>
      </w:r>
      <w:r w:rsidRPr="00E57A67">
        <w:t>le projet de r</w:t>
      </w:r>
      <w:r>
        <w:t xml:space="preserve">éhabilitation et d’équipement des salles de réunion et de prof des structures de l’USSGB. Elle a </w:t>
      </w:r>
      <w:r w:rsidRPr="006C7B0E">
        <w:t xml:space="preserve">l’intention d’utiliser une partie de ces fonds pour effectuer des paiements au titre du </w:t>
      </w:r>
      <w:r>
        <w:t xml:space="preserve">projet de </w:t>
      </w:r>
      <w:r w:rsidRPr="00B634B0">
        <w:rPr>
          <w:b/>
        </w:rPr>
        <w:t xml:space="preserve">DRPCO </w:t>
      </w:r>
      <w:r w:rsidRPr="00B634B0">
        <w:rPr>
          <w:b/>
          <w:iCs/>
        </w:rPr>
        <w:t>N°0</w:t>
      </w:r>
      <w:r>
        <w:rPr>
          <w:b/>
          <w:iCs/>
        </w:rPr>
        <w:t>465/T-2026.</w:t>
      </w:r>
    </w:p>
    <w:p w14:paraId="53434DD4" w14:textId="77777777" w:rsidR="00757D9F" w:rsidRPr="006C7B0E" w:rsidRDefault="00757D9F" w:rsidP="00757D9F">
      <w:pPr>
        <w:numPr>
          <w:ilvl w:val="0"/>
          <w:numId w:val="1"/>
        </w:numPr>
        <w:autoSpaceDN w:val="0"/>
        <w:spacing w:after="200"/>
        <w:ind w:left="0" w:firstLine="0"/>
        <w:jc w:val="both"/>
      </w:pPr>
      <w:r w:rsidRPr="00B634B0">
        <w:rPr>
          <w:b/>
          <w:i/>
          <w:iCs/>
        </w:rPr>
        <w:t>L’USSGB</w:t>
      </w:r>
      <w:r>
        <w:rPr>
          <w:i/>
          <w:iCs/>
        </w:rPr>
        <w:t xml:space="preserve"> </w:t>
      </w:r>
      <w:r w:rsidRPr="006C7B0E">
        <w:t>sollicite des offres fermées de la part de</w:t>
      </w:r>
      <w:r>
        <w:t xml:space="preserve">s </w:t>
      </w:r>
      <w:r w:rsidRPr="006C7B0E">
        <w:t>candidats éligibles et répondant aux qualifications requises pour réaliser les travaux suivants</w:t>
      </w:r>
      <w:r>
        <w:t xml:space="preserve"> : </w:t>
      </w:r>
      <w:r w:rsidRPr="006C7B0E">
        <w:t> </w:t>
      </w:r>
      <w:r>
        <w:t>Réhabilitation et équipement des salles de réunion et de prof des structures de l’USSGB.</w:t>
      </w:r>
    </w:p>
    <w:p w14:paraId="580D9B9A" w14:textId="77777777" w:rsidR="00757D9F" w:rsidRPr="006C7B0E" w:rsidRDefault="00757D9F" w:rsidP="00757D9F">
      <w:pPr>
        <w:numPr>
          <w:ilvl w:val="0"/>
          <w:numId w:val="1"/>
        </w:numPr>
        <w:spacing w:line="360" w:lineRule="auto"/>
        <w:ind w:left="0" w:firstLine="0"/>
        <w:jc w:val="both"/>
      </w:pPr>
      <w:r w:rsidRPr="006C7B0E">
        <w:t>La passation du Marché sera conduite par Demande de Renseignement et de Prix à Compétition Ouverte tel</w:t>
      </w:r>
      <w:r>
        <w:t>le</w:t>
      </w:r>
      <w:r w:rsidRPr="006C7B0E">
        <w:t xml:space="preserve"> que défini</w:t>
      </w:r>
      <w:r>
        <w:t>e</w:t>
      </w:r>
      <w:r w:rsidRPr="006C7B0E">
        <w:t xml:space="preserve"> à l’article 24 de l’Arrêté N°2015-3721/MEF-SG du 22 octobre 2015 fixant les modalités d’application du Code des Marchés publics et des Délégations de Service Public</w:t>
      </w:r>
      <w:r w:rsidRPr="006C7B0E">
        <w:rPr>
          <w:i/>
          <w:iCs/>
        </w:rPr>
        <w:t>,</w:t>
      </w:r>
      <w:r w:rsidRPr="006C7B0E">
        <w:t xml:space="preserve"> et ouvert à tous les candidats éligibles. </w:t>
      </w:r>
    </w:p>
    <w:p w14:paraId="1D1737C4" w14:textId="77777777" w:rsidR="00757D9F" w:rsidRPr="002B4E23" w:rsidRDefault="00757D9F" w:rsidP="00757D9F">
      <w:pPr>
        <w:pStyle w:val="Paragraphedeliste"/>
        <w:numPr>
          <w:ilvl w:val="0"/>
          <w:numId w:val="1"/>
        </w:numPr>
        <w:suppressAutoHyphens w:val="0"/>
        <w:overflowPunct/>
        <w:autoSpaceDE/>
        <w:autoSpaceDN/>
        <w:adjustRightInd/>
        <w:spacing w:after="120"/>
        <w:contextualSpacing/>
        <w:textAlignment w:val="auto"/>
      </w:pPr>
      <w:r w:rsidRPr="00040990">
        <w:rPr>
          <w:rFonts w:cs="Times New Roman"/>
        </w:rPr>
        <w:t>Les candidats intéressés peuvent obtenir des informations auprès</w:t>
      </w:r>
      <w:r>
        <w:rPr>
          <w:rFonts w:cs="Times New Roman"/>
        </w:rPr>
        <w:t xml:space="preserve"> </w:t>
      </w:r>
      <w:r w:rsidRPr="00850EA4">
        <w:t xml:space="preserve">du Chef de </w:t>
      </w:r>
      <w:r>
        <w:t>S</w:t>
      </w:r>
      <w:r w:rsidRPr="00040990">
        <w:rPr>
          <w:bCs/>
        </w:rPr>
        <w:t xml:space="preserve">ervice des Finances du Rectorat </w:t>
      </w:r>
      <w:r w:rsidRPr="00850EA4">
        <w:t xml:space="preserve">de l’Université des Sciences </w:t>
      </w:r>
      <w:r w:rsidRPr="00040990">
        <w:rPr>
          <w:bCs/>
          <w:iCs/>
        </w:rPr>
        <w:t>Sociales et de Gestion de Bamako (USSGB)</w:t>
      </w:r>
      <w:r w:rsidRPr="00850EA4">
        <w:t xml:space="preserve"> sis</w:t>
      </w:r>
      <w:r>
        <w:t>e</w:t>
      </w:r>
      <w:r w:rsidRPr="00850EA4">
        <w:t xml:space="preserve"> à </w:t>
      </w:r>
      <w:r w:rsidRPr="00040990">
        <w:rPr>
          <w:b/>
        </w:rPr>
        <w:t>Bamako, Quartier du Fleuve, Rue 310</w:t>
      </w:r>
      <w:r>
        <w:rPr>
          <w:b/>
        </w:rPr>
        <w:t>,</w:t>
      </w:r>
      <w:r w:rsidRPr="00040990">
        <w:rPr>
          <w:b/>
        </w:rPr>
        <w:t xml:space="preserve"> Porte 238, près du Marché Dibida, BP: 2575 </w:t>
      </w:r>
      <w:r w:rsidRPr="00040990">
        <w:rPr>
          <w:b/>
          <w:bCs/>
          <w:spacing w:val="-3"/>
          <w:lang w:val="fr-CA"/>
        </w:rPr>
        <w:t>Tél. 20-22-08-65 / 20-22-08-66</w:t>
      </w:r>
      <w:r>
        <w:rPr>
          <w:b/>
          <w:bCs/>
          <w:spacing w:val="-3"/>
          <w:lang w:val="fr-CA"/>
        </w:rPr>
        <w:t>,</w:t>
      </w:r>
      <w:r w:rsidRPr="00040990">
        <w:rPr>
          <w:b/>
          <w:bCs/>
          <w:spacing w:val="-3"/>
          <w:lang w:val="fr-CA"/>
        </w:rPr>
        <w:t xml:space="preserve"> E-mail : </w:t>
      </w:r>
      <w:hyperlink r:id="rId6" w:history="1">
        <w:r w:rsidRPr="00040990">
          <w:rPr>
            <w:rStyle w:val="Lienhypertexte"/>
            <w:b/>
            <w:bCs/>
            <w:spacing w:val="-3"/>
            <w:lang w:val="fr-CA"/>
          </w:rPr>
          <w:t>ussgb@yahoo.fr</w:t>
        </w:r>
      </w:hyperlink>
      <w:r w:rsidRPr="00040990">
        <w:rPr>
          <w:b/>
          <w:bCs/>
          <w:spacing w:val="-3"/>
          <w:lang w:val="fr-CA"/>
        </w:rPr>
        <w:t xml:space="preserve"> Site WEB : </w:t>
      </w:r>
      <w:hyperlink r:id="rId7" w:history="1">
        <w:r w:rsidRPr="00040990">
          <w:rPr>
            <w:rStyle w:val="Lienhypertexte"/>
            <w:b/>
            <w:bCs/>
            <w:spacing w:val="-3"/>
            <w:lang w:val="fr-CA"/>
          </w:rPr>
          <w:t>www.ussgb.ml</w:t>
        </w:r>
      </w:hyperlink>
      <w:r w:rsidRPr="00040990">
        <w:rPr>
          <w:b/>
          <w:bCs/>
          <w:spacing w:val="-3"/>
          <w:lang w:val="fr-CA"/>
        </w:rPr>
        <w:t xml:space="preserve"> </w:t>
      </w:r>
      <w:r w:rsidRPr="00850EA4">
        <w:t xml:space="preserve">et prendre connaissance des documents d’Appel d’offres à l’adresse mentionnée ci-après : </w:t>
      </w:r>
      <w:r w:rsidRPr="00040990">
        <w:rPr>
          <w:b/>
        </w:rPr>
        <w:t xml:space="preserve">Division du Matériel et des Approvisionnements du Rectorat de l’USSGB, </w:t>
      </w:r>
      <w:r w:rsidRPr="005B0C05">
        <w:t xml:space="preserve">du </w:t>
      </w:r>
      <w:r w:rsidRPr="00040990">
        <w:rPr>
          <w:b/>
        </w:rPr>
        <w:t>Lundi au Jeudi</w:t>
      </w:r>
      <w:r w:rsidRPr="005B0C05">
        <w:t xml:space="preserve"> entre </w:t>
      </w:r>
      <w:r w:rsidRPr="00040990">
        <w:rPr>
          <w:b/>
        </w:rPr>
        <w:t>7H30mn et 16H</w:t>
      </w:r>
      <w:r>
        <w:t xml:space="preserve"> et le </w:t>
      </w:r>
      <w:r w:rsidRPr="00040990">
        <w:rPr>
          <w:b/>
        </w:rPr>
        <w:t>Vendredi</w:t>
      </w:r>
      <w:r w:rsidRPr="005B0C05">
        <w:t xml:space="preserve"> de </w:t>
      </w:r>
      <w:r w:rsidRPr="00040990">
        <w:rPr>
          <w:b/>
        </w:rPr>
        <w:t>7H30mn à 17H30 min</w:t>
      </w:r>
      <w:r w:rsidRPr="005B0C05">
        <w:t xml:space="preserve">. </w:t>
      </w:r>
    </w:p>
    <w:p w14:paraId="1EC3255C" w14:textId="77777777" w:rsidR="00757D9F" w:rsidRPr="009D6DB0" w:rsidRDefault="00757D9F" w:rsidP="00757D9F">
      <w:pPr>
        <w:spacing w:before="120" w:after="120"/>
        <w:ind w:left="142"/>
        <w:contextualSpacing/>
        <w:rPr>
          <w:iCs/>
        </w:rPr>
      </w:pPr>
      <w:r>
        <w:t xml:space="preserve">5.    </w:t>
      </w:r>
      <w:r w:rsidRPr="00850EA4">
        <w:t xml:space="preserve">Les exigences en matière de qualifications sont : </w:t>
      </w:r>
      <w:r>
        <w:t xml:space="preserve">voir </w:t>
      </w:r>
      <w:r w:rsidRPr="006C7B0E">
        <w:t xml:space="preserve">les Données </w:t>
      </w:r>
      <w:r>
        <w:t>P</w:t>
      </w:r>
      <w:r w:rsidRPr="006C7B0E">
        <w:t>articulières de l’</w:t>
      </w:r>
      <w:r>
        <w:t>A</w:t>
      </w:r>
      <w:r w:rsidRPr="006C7B0E">
        <w:t>ppel d’</w:t>
      </w:r>
      <w:r>
        <w:t>O</w:t>
      </w:r>
      <w:r w:rsidRPr="006C7B0E">
        <w:t>ffres</w:t>
      </w:r>
      <w:r w:rsidRPr="00040990">
        <w:t xml:space="preserve"> </w:t>
      </w:r>
      <w:r>
        <w:t>(</w:t>
      </w:r>
      <w:r w:rsidRPr="00040990">
        <w:t>DPAO</w:t>
      </w:r>
      <w:r>
        <w:t>)</w:t>
      </w:r>
      <w:r w:rsidRPr="00040990">
        <w:t xml:space="preserve"> dans le document d’Appel d’offres pour les informations détaillées</w:t>
      </w:r>
      <w:r>
        <w:t xml:space="preserve"> </w:t>
      </w:r>
      <w:r w:rsidRPr="00850EA4">
        <w:t xml:space="preserve">: </w:t>
      </w:r>
    </w:p>
    <w:p w14:paraId="3F7CF504" w14:textId="77777777" w:rsidR="00757D9F" w:rsidRPr="00DA77B6" w:rsidRDefault="00757D9F" w:rsidP="00757D9F">
      <w:pPr>
        <w:spacing w:before="120"/>
        <w:ind w:left="540"/>
        <w:rPr>
          <w:u w:val="single"/>
        </w:rPr>
      </w:pPr>
      <w:r w:rsidRPr="00DA77B6">
        <w:rPr>
          <w:b/>
          <w:u w:val="single"/>
        </w:rPr>
        <w:t xml:space="preserve">Capacité financière </w:t>
      </w:r>
      <w:r w:rsidRPr="00DA77B6">
        <w:rPr>
          <w:u w:val="single"/>
        </w:rPr>
        <w:t>:</w:t>
      </w:r>
    </w:p>
    <w:p w14:paraId="37D075F1" w14:textId="77777777" w:rsidR="00757D9F" w:rsidRPr="00850EA4" w:rsidRDefault="00757D9F" w:rsidP="00757D9F">
      <w:pPr>
        <w:ind w:firstLine="540"/>
      </w:pPr>
      <w:r w:rsidRPr="00850EA4">
        <w:t xml:space="preserve">Le Soumissionnaire doit fournir la preuve écrite qu’il satisfait aux exigences ci-après : </w:t>
      </w:r>
    </w:p>
    <w:p w14:paraId="53497012" w14:textId="77777777" w:rsidR="00757D9F" w:rsidRPr="00850EA4" w:rsidRDefault="00757D9F" w:rsidP="00757D9F">
      <w:pPr>
        <w:pStyle w:val="Paragraphedeliste"/>
        <w:numPr>
          <w:ilvl w:val="0"/>
          <w:numId w:val="2"/>
        </w:numPr>
        <w:suppressAutoHyphens w:val="0"/>
        <w:overflowPunct/>
        <w:autoSpaceDE/>
        <w:autoSpaceDN/>
        <w:adjustRightInd/>
        <w:spacing w:after="200"/>
        <w:contextualSpacing/>
        <w:textAlignment w:val="auto"/>
      </w:pPr>
      <w:proofErr w:type="gramStart"/>
      <w:r w:rsidRPr="00850EA4">
        <w:t>la</w:t>
      </w:r>
      <w:proofErr w:type="gramEnd"/>
      <w:r>
        <w:t xml:space="preserve"> garantie de l’offre au moins égale à </w:t>
      </w:r>
      <w:r>
        <w:rPr>
          <w:b/>
        </w:rPr>
        <w:t xml:space="preserve">900 </w:t>
      </w:r>
      <w:r w:rsidRPr="00E77297">
        <w:rPr>
          <w:b/>
        </w:rPr>
        <w:t>000 FCFA</w:t>
      </w:r>
      <w:r w:rsidRPr="00850EA4">
        <w:t> ;</w:t>
      </w:r>
    </w:p>
    <w:p w14:paraId="435D545B" w14:textId="77777777" w:rsidR="00757D9F" w:rsidRPr="00850EA4" w:rsidRDefault="00757D9F" w:rsidP="00757D9F">
      <w:pPr>
        <w:pStyle w:val="Paragraphedeliste"/>
        <w:numPr>
          <w:ilvl w:val="0"/>
          <w:numId w:val="2"/>
        </w:numPr>
        <w:tabs>
          <w:tab w:val="left" w:pos="1350"/>
        </w:tabs>
        <w:overflowPunct/>
        <w:autoSpaceDE/>
        <w:autoSpaceDN/>
        <w:adjustRightInd/>
        <w:ind w:right="-72"/>
        <w:contextualSpacing/>
        <w:textAlignment w:val="auto"/>
      </w:pPr>
      <w:proofErr w:type="gramStart"/>
      <w:r w:rsidRPr="00850EA4">
        <w:t>les</w:t>
      </w:r>
      <w:proofErr w:type="gramEnd"/>
      <w:r w:rsidRPr="00850EA4">
        <w:t xml:space="preserve"> bilans, extrait</w:t>
      </w:r>
      <w:r>
        <w:t>s</w:t>
      </w:r>
      <w:r w:rsidRPr="00850EA4">
        <w:t xml:space="preserve"> de bilans ou comptes d’exploitation </w:t>
      </w:r>
      <w:r>
        <w:t xml:space="preserve">des années 2023-2024-2025, </w:t>
      </w:r>
      <w:r w:rsidRPr="00850EA4">
        <w:t xml:space="preserve">certifiés par un expert-comptable ou un comptable </w:t>
      </w:r>
      <w:r>
        <w:t xml:space="preserve">agréé inscrit </w:t>
      </w:r>
      <w:proofErr w:type="gramStart"/>
      <w:r>
        <w:t>au  tableau</w:t>
      </w:r>
      <w:proofErr w:type="gramEnd"/>
      <w:r>
        <w:t xml:space="preserve"> de l’O</w:t>
      </w:r>
      <w:r w:rsidRPr="00850EA4">
        <w:t xml:space="preserve">rdre et sur ces bilans doit figurer la mention suivante apposée par le service compétent des </w:t>
      </w:r>
      <w:r>
        <w:t>I</w:t>
      </w:r>
      <w:r w:rsidRPr="00850EA4">
        <w:t>mpôts « Bilan conforme aux déclarations souscrites au service des impôts » ;</w:t>
      </w:r>
    </w:p>
    <w:p w14:paraId="6E79FD86" w14:textId="77777777" w:rsidR="00757D9F" w:rsidRPr="00AD6CAB" w:rsidRDefault="00757D9F" w:rsidP="00757D9F">
      <w:pPr>
        <w:pStyle w:val="Paragraphedeliste"/>
        <w:numPr>
          <w:ilvl w:val="0"/>
          <w:numId w:val="2"/>
        </w:numPr>
        <w:overflowPunct/>
        <w:autoSpaceDE/>
        <w:adjustRightInd/>
        <w:ind w:left="700"/>
        <w:contextualSpacing/>
        <w:textAlignment w:val="auto"/>
        <w:rPr>
          <w:rFonts w:cs="Times New Roman"/>
          <w:b/>
        </w:rPr>
      </w:pPr>
      <w:r>
        <w:t xml:space="preserve">Le </w:t>
      </w:r>
      <w:r w:rsidRPr="00850EA4">
        <w:t>Chiffre d’Affaire</w:t>
      </w:r>
      <w:r>
        <w:t>s</w:t>
      </w:r>
      <w:r w:rsidRPr="00850EA4">
        <w:t xml:space="preserve"> moyen des trois (03) dernières années </w:t>
      </w:r>
      <w:r>
        <w:t xml:space="preserve">2023-2024-2025 </w:t>
      </w:r>
      <w:r w:rsidRPr="00850EA4">
        <w:t xml:space="preserve">au moins égal </w:t>
      </w:r>
      <w:r>
        <w:t xml:space="preserve">à </w:t>
      </w:r>
      <w:r>
        <w:rPr>
          <w:rFonts w:cs="Times New Roman"/>
          <w:b/>
        </w:rPr>
        <w:t>cent (1</w:t>
      </w:r>
      <w:r w:rsidRPr="00AD6CAB">
        <w:rPr>
          <w:rFonts w:cs="Times New Roman"/>
          <w:b/>
        </w:rPr>
        <w:t xml:space="preserve">00) millions </w:t>
      </w:r>
      <w:proofErr w:type="gramStart"/>
      <w:r w:rsidRPr="00AD6CAB">
        <w:rPr>
          <w:rFonts w:cs="Times New Roman"/>
          <w:b/>
        </w:rPr>
        <w:t>FCFA;</w:t>
      </w:r>
      <w:proofErr w:type="gramEnd"/>
    </w:p>
    <w:p w14:paraId="58FFEF0C" w14:textId="77777777" w:rsidR="00757D9F" w:rsidRPr="00850EA4" w:rsidRDefault="00757D9F" w:rsidP="00757D9F">
      <w:pPr>
        <w:pStyle w:val="Paragraphedeliste"/>
        <w:numPr>
          <w:ilvl w:val="0"/>
          <w:numId w:val="2"/>
        </w:numPr>
        <w:overflowPunct/>
        <w:autoSpaceDE/>
        <w:autoSpaceDN/>
        <w:adjustRightInd/>
        <w:ind w:right="-72"/>
        <w:contextualSpacing/>
        <w:textAlignment w:val="auto"/>
      </w:pPr>
      <w:proofErr w:type="gramStart"/>
      <w:r w:rsidRPr="00850EA4">
        <w:lastRenderedPageBreak/>
        <w:t>les</w:t>
      </w:r>
      <w:proofErr w:type="gramEnd"/>
      <w:r w:rsidRPr="00850EA4">
        <w:t xml:space="preserve"> nouvelles </w:t>
      </w:r>
      <w:r>
        <w:t>Entreprises</w:t>
      </w:r>
      <w:r w:rsidRPr="00850EA4">
        <w:t xml:space="preserve"> doivent fournir une attestation bancaire de disponibilité de fonds ou d’engagement à financer le marché d’un montant au </w:t>
      </w:r>
      <w:r w:rsidRPr="00AD6CAB">
        <w:rPr>
          <w:b/>
        </w:rPr>
        <w:t>moins éga</w:t>
      </w:r>
      <w:r>
        <w:rPr>
          <w:b/>
        </w:rPr>
        <w:t>l au montant de leurs offres</w:t>
      </w:r>
      <w:proofErr w:type="gramStart"/>
      <w:r w:rsidRPr="00AD6CAB">
        <w:rPr>
          <w:b/>
        </w:rPr>
        <w:t xml:space="preserve"> </w:t>
      </w:r>
      <w:r w:rsidRPr="00AD6CAB">
        <w:t>«toutefois</w:t>
      </w:r>
      <w:proofErr w:type="gramEnd"/>
      <w:r w:rsidRPr="00AD6CAB">
        <w:t>, pour l’appréciation des expériences, la candidature de ces sociétés doit être examinée au regard des capacités techniques et professionnelles, notamment, par le biais des expériences et références obtenues par leurs dirigeants et leurs collaborateurs »</w:t>
      </w:r>
      <w:r>
        <w:t>.</w:t>
      </w:r>
    </w:p>
    <w:p w14:paraId="6D827274" w14:textId="77777777" w:rsidR="00757D9F" w:rsidRPr="001C69D4" w:rsidRDefault="00757D9F" w:rsidP="00757D9F">
      <w:pPr>
        <w:spacing w:before="120"/>
        <w:ind w:left="540"/>
        <w:rPr>
          <w:b/>
        </w:rPr>
      </w:pPr>
      <w:r w:rsidRPr="00DA77B6">
        <w:rPr>
          <w:b/>
          <w:u w:val="single"/>
        </w:rPr>
        <w:t xml:space="preserve">Capacité technique </w:t>
      </w:r>
      <w:r w:rsidRPr="001C69D4">
        <w:rPr>
          <w:b/>
          <w:u w:val="single"/>
        </w:rPr>
        <w:t>et expériences</w:t>
      </w:r>
      <w:r w:rsidRPr="001C69D4">
        <w:rPr>
          <w:b/>
        </w:rPr>
        <w:t> :</w:t>
      </w:r>
    </w:p>
    <w:p w14:paraId="406DB6D7" w14:textId="77777777" w:rsidR="00757D9F" w:rsidRPr="00850EA4" w:rsidRDefault="00757D9F" w:rsidP="00757D9F">
      <w:pPr>
        <w:pStyle w:val="Paragraphedeliste"/>
        <w:numPr>
          <w:ilvl w:val="0"/>
          <w:numId w:val="2"/>
        </w:numPr>
        <w:suppressAutoHyphens w:val="0"/>
        <w:overflowPunct/>
        <w:autoSpaceDE/>
        <w:autoSpaceDN/>
        <w:adjustRightInd/>
        <w:spacing w:after="200"/>
        <w:contextualSpacing/>
        <w:textAlignment w:val="auto"/>
      </w:pPr>
      <w:r w:rsidRPr="00850EA4">
        <w:t xml:space="preserve">Expériences similaires attestées par au moins </w:t>
      </w:r>
      <w:r>
        <w:t>deux (02)</w:t>
      </w:r>
      <w:r w:rsidRPr="00850EA4">
        <w:t xml:space="preserve"> attestation</w:t>
      </w:r>
      <w:r>
        <w:t>s</w:t>
      </w:r>
      <w:r w:rsidRPr="00850EA4">
        <w:t xml:space="preserve"> de bonne exécution et</w:t>
      </w:r>
      <w:r>
        <w:t>/</w:t>
      </w:r>
      <w:r w:rsidRPr="00850EA4">
        <w:t xml:space="preserve">ou les procès-verbaux de réception provisoire ou définitive et les copies des pages de garde et des pages de signatures des marchés correspondants </w:t>
      </w:r>
      <w:r>
        <w:t>de montant supérieur pendant l</w:t>
      </w:r>
      <w:r w:rsidRPr="00850EA4">
        <w:t>es cinq (05) dernières années 20</w:t>
      </w:r>
      <w:r>
        <w:t>21</w:t>
      </w:r>
      <w:r w:rsidRPr="00850EA4">
        <w:t xml:space="preserve"> à 20</w:t>
      </w:r>
      <w:r>
        <w:t>25.</w:t>
      </w:r>
    </w:p>
    <w:p w14:paraId="4C0C22C2" w14:textId="77777777" w:rsidR="00757D9F" w:rsidRPr="001A7DF2" w:rsidRDefault="00757D9F" w:rsidP="00757D9F">
      <w:pPr>
        <w:spacing w:after="200"/>
        <w:ind w:left="240"/>
        <w:contextualSpacing/>
        <w:rPr>
          <w:iCs/>
          <w:lang w:val="fr-ML"/>
        </w:rPr>
      </w:pPr>
      <w:r>
        <w:t xml:space="preserve">6.  </w:t>
      </w:r>
      <w:r w:rsidRPr="00850EA4">
        <w:t>Les candidats intéressés peu</w:t>
      </w:r>
      <w:r>
        <w:t>vent consulter gratuitement le Dossier d’Appel d’O</w:t>
      </w:r>
      <w:r w:rsidRPr="00850EA4">
        <w:t xml:space="preserve">ffres complet ou le retirer à titre onéreux contre paiement d’une somme non remboursable de </w:t>
      </w:r>
      <w:r w:rsidRPr="002B4E23">
        <w:rPr>
          <w:b/>
        </w:rPr>
        <w:t>50 000</w:t>
      </w:r>
      <w:r w:rsidRPr="00422A83">
        <w:rPr>
          <w:b/>
          <w:iCs/>
        </w:rPr>
        <w:t xml:space="preserve"> FCFA </w:t>
      </w:r>
      <w:r w:rsidRPr="00850EA4">
        <w:t>à l’adresse mentionnée ci-après </w:t>
      </w:r>
      <w:r w:rsidRPr="00422A83">
        <w:rPr>
          <w:iCs/>
        </w:rPr>
        <w:t>:</w:t>
      </w:r>
      <w:r w:rsidRPr="00422A83">
        <w:rPr>
          <w:i/>
          <w:iCs/>
        </w:rPr>
        <w:t xml:space="preserve"> </w:t>
      </w:r>
      <w:r w:rsidRPr="00422A83">
        <w:rPr>
          <w:b/>
        </w:rPr>
        <w:t>Division du Matériel et des Approvisionnements du Rectorat de l’USSGB, RDC, 1</w:t>
      </w:r>
      <w:r w:rsidRPr="00422A83">
        <w:rPr>
          <w:b/>
          <w:vertAlign w:val="superscript"/>
        </w:rPr>
        <w:t>er</w:t>
      </w:r>
      <w:r w:rsidRPr="00422A83">
        <w:rPr>
          <w:b/>
        </w:rPr>
        <w:t xml:space="preserve"> Bureau à gauche, Bamako.</w:t>
      </w:r>
      <w:r w:rsidRPr="00850EA4">
        <w:t xml:space="preserve"> L</w:t>
      </w:r>
      <w:r>
        <w:t>e</w:t>
      </w:r>
      <w:r w:rsidRPr="00850EA4">
        <w:t xml:space="preserve"> mode de paiement </w:t>
      </w:r>
      <w:r>
        <w:t>se fera à travers Trésor-</w:t>
      </w:r>
      <w:proofErr w:type="spellStart"/>
      <w:r>
        <w:t>pay</w:t>
      </w:r>
      <w:proofErr w:type="spellEnd"/>
      <w:r>
        <w:t xml:space="preserve"> (E-Régie). Le Dossier d’Appel d’O</w:t>
      </w:r>
      <w:r w:rsidRPr="00850EA4">
        <w:t>ffres sera remis directement après paiement.</w:t>
      </w:r>
    </w:p>
    <w:p w14:paraId="089E3F5A" w14:textId="77777777" w:rsidR="00757D9F" w:rsidRPr="00422A83" w:rsidRDefault="00757D9F" w:rsidP="00757D9F">
      <w:pPr>
        <w:spacing w:after="200"/>
        <w:contextualSpacing/>
        <w:rPr>
          <w:iCs/>
        </w:rPr>
      </w:pPr>
    </w:p>
    <w:p w14:paraId="39F10F20" w14:textId="77777777" w:rsidR="00757D9F" w:rsidRPr="00422A83" w:rsidRDefault="00757D9F" w:rsidP="00757D9F">
      <w:pPr>
        <w:spacing w:before="120" w:after="200"/>
        <w:ind w:left="240"/>
        <w:contextualSpacing/>
        <w:rPr>
          <w:iCs/>
        </w:rPr>
      </w:pPr>
      <w:r>
        <w:t xml:space="preserve">7.  </w:t>
      </w:r>
      <w:r w:rsidRPr="00850EA4">
        <w:t>Les offres devront être soumises à l’adresse ci-après</w:t>
      </w:r>
      <w:r>
        <w:t xml:space="preserve"> : </w:t>
      </w:r>
      <w:r w:rsidRPr="00422A83">
        <w:rPr>
          <w:b/>
        </w:rPr>
        <w:t>Division du Matériel et des Approvisionnements du Rectorat de l’USSGB, RDC, 1</w:t>
      </w:r>
      <w:r w:rsidRPr="00422A83">
        <w:rPr>
          <w:b/>
          <w:vertAlign w:val="superscript"/>
        </w:rPr>
        <w:t>er</w:t>
      </w:r>
      <w:r w:rsidRPr="00422A83">
        <w:rPr>
          <w:b/>
        </w:rPr>
        <w:t xml:space="preserve"> Bureau à gauche </w:t>
      </w:r>
      <w:r w:rsidRPr="00850EA4">
        <w:t xml:space="preserve">au plus tard </w:t>
      </w:r>
      <w:r w:rsidRPr="00422A83">
        <w:rPr>
          <w:b/>
        </w:rPr>
        <w:t xml:space="preserve">le </w:t>
      </w:r>
      <w:r>
        <w:rPr>
          <w:b/>
        </w:rPr>
        <w:t>10 octobre 2026.</w:t>
      </w:r>
      <w:r w:rsidRPr="00850EA4">
        <w:t xml:space="preserve"> Les offres remises </w:t>
      </w:r>
      <w:r>
        <w:t xml:space="preserve">qui ne parviendront pas aux heures et date ci-dessus indiquées, </w:t>
      </w:r>
      <w:r w:rsidRPr="00850EA4">
        <w:t xml:space="preserve">seront </w:t>
      </w:r>
      <w:r>
        <w:t>purement et simplement rejetées et retournées sans être ouvertes</w:t>
      </w:r>
      <w:r w:rsidRPr="00850EA4">
        <w:t xml:space="preserve">. </w:t>
      </w:r>
    </w:p>
    <w:p w14:paraId="6FDE17A3" w14:textId="77777777" w:rsidR="00757D9F" w:rsidRPr="00850EA4" w:rsidRDefault="00757D9F" w:rsidP="00757D9F"/>
    <w:p w14:paraId="363DC053" w14:textId="77777777" w:rsidR="00757D9F" w:rsidRPr="00422A83" w:rsidRDefault="00757D9F" w:rsidP="00757D9F">
      <w:pPr>
        <w:spacing w:after="200"/>
        <w:ind w:left="240"/>
        <w:contextualSpacing/>
        <w:rPr>
          <w:iCs/>
        </w:rPr>
      </w:pPr>
      <w:r>
        <w:t xml:space="preserve">8.  </w:t>
      </w:r>
      <w:r w:rsidRPr="00850EA4">
        <w:t xml:space="preserve">Les offres doivent comprendre </w:t>
      </w:r>
      <w:r w:rsidRPr="00422A83">
        <w:rPr>
          <w:iCs/>
        </w:rPr>
        <w:t>une garantie de soumission</w:t>
      </w:r>
      <w:r w:rsidRPr="00850EA4">
        <w:t>, d’un m</w:t>
      </w:r>
      <w:r>
        <w:t>ontant de neuf cent mille francs CFA</w:t>
      </w:r>
      <w:r w:rsidRPr="00422A83">
        <w:rPr>
          <w:b/>
        </w:rPr>
        <w:t xml:space="preserve"> </w:t>
      </w:r>
      <w:r>
        <w:t>(</w:t>
      </w:r>
      <w:r>
        <w:rPr>
          <w:b/>
        </w:rPr>
        <w:t>9</w:t>
      </w:r>
      <w:r w:rsidRPr="00422A83">
        <w:rPr>
          <w:b/>
        </w:rPr>
        <w:t>00 000</w:t>
      </w:r>
      <w:r>
        <w:t xml:space="preserve">) </w:t>
      </w:r>
      <w:r w:rsidRPr="00422A83">
        <w:rPr>
          <w:b/>
        </w:rPr>
        <w:t xml:space="preserve">FCFA </w:t>
      </w:r>
      <w:r w:rsidRPr="00422A83">
        <w:rPr>
          <w:iCs/>
        </w:rPr>
        <w:t>conformément à l’article 69 du Code des marchés publics</w:t>
      </w:r>
      <w:r w:rsidRPr="00422A83">
        <w:rPr>
          <w:i/>
          <w:iCs/>
        </w:rPr>
        <w:t>.</w:t>
      </w:r>
    </w:p>
    <w:p w14:paraId="7A081095" w14:textId="77777777" w:rsidR="00757D9F" w:rsidRPr="00850EA4" w:rsidRDefault="00757D9F" w:rsidP="00757D9F"/>
    <w:p w14:paraId="22711B91" w14:textId="77777777" w:rsidR="00757D9F" w:rsidRPr="009306A6" w:rsidRDefault="00757D9F" w:rsidP="00757D9F">
      <w:pPr>
        <w:spacing w:after="200"/>
        <w:ind w:left="240"/>
        <w:contextualSpacing/>
        <w:rPr>
          <w:iCs/>
        </w:rPr>
      </w:pPr>
      <w:r>
        <w:t>9.   Les</w:t>
      </w:r>
      <w:r w:rsidRPr="00850EA4">
        <w:t xml:space="preserve"> Soumissionnaires resteront engagés par leur offre pendant une période de </w:t>
      </w:r>
      <w:r w:rsidRPr="00422A83">
        <w:rPr>
          <w:b/>
        </w:rPr>
        <w:t>quatre-vingt-dix (90) jours</w:t>
      </w:r>
      <w:r w:rsidRPr="00850EA4">
        <w:t xml:space="preserve"> à compter de la date limite du dépôt des offres</w:t>
      </w:r>
      <w:r w:rsidRPr="00C14A02">
        <w:t xml:space="preserve"> </w:t>
      </w:r>
      <w:r>
        <w:t>comme spécifiées au point 19.1 des IC et au DPAO</w:t>
      </w:r>
      <w:r w:rsidRPr="00850EA4">
        <w:t>.</w:t>
      </w:r>
    </w:p>
    <w:p w14:paraId="683B51D4" w14:textId="77777777" w:rsidR="00757D9F" w:rsidRPr="00422A83" w:rsidRDefault="00757D9F" w:rsidP="00757D9F">
      <w:pPr>
        <w:spacing w:after="200"/>
        <w:ind w:left="240"/>
        <w:contextualSpacing/>
        <w:rPr>
          <w:iCs/>
        </w:rPr>
      </w:pPr>
      <w:r>
        <w:t>10.  Les</w:t>
      </w:r>
      <w:r w:rsidRPr="00850EA4">
        <w:t xml:space="preserve"> offres seront ouvertes en présence des représentants des soumissionnaires qui souhaitent assister à l’ouverture des plis </w:t>
      </w:r>
      <w:r w:rsidRPr="00422A83">
        <w:rPr>
          <w:b/>
        </w:rPr>
        <w:t xml:space="preserve">le </w:t>
      </w:r>
      <w:r>
        <w:rPr>
          <w:b/>
        </w:rPr>
        <w:t xml:space="preserve">10 octobre 2026 à 10 heure 00 min </w:t>
      </w:r>
      <w:r>
        <w:t>dans</w:t>
      </w:r>
      <w:r w:rsidRPr="00850EA4">
        <w:t xml:space="preserve"> l</w:t>
      </w:r>
      <w:r>
        <w:t xml:space="preserve">a </w:t>
      </w:r>
      <w:r w:rsidRPr="00422A83">
        <w:rPr>
          <w:b/>
        </w:rPr>
        <w:t xml:space="preserve">salle de </w:t>
      </w:r>
      <w:r>
        <w:rPr>
          <w:b/>
        </w:rPr>
        <w:t xml:space="preserve">réunion </w:t>
      </w:r>
      <w:r w:rsidRPr="00422A83">
        <w:rPr>
          <w:b/>
        </w:rPr>
        <w:t>du Rectorat de l’USSGB</w:t>
      </w:r>
      <w:r w:rsidRPr="00850EA4">
        <w:t>.</w:t>
      </w:r>
    </w:p>
    <w:p w14:paraId="46BF2F25" w14:textId="77777777" w:rsidR="00757D9F" w:rsidRDefault="00757D9F" w:rsidP="00757D9F">
      <w:pPr>
        <w:rPr>
          <w:sz w:val="16"/>
          <w:szCs w:val="16"/>
        </w:rPr>
      </w:pPr>
    </w:p>
    <w:p w14:paraId="2F808552" w14:textId="77777777" w:rsidR="00757D9F" w:rsidRDefault="00757D9F" w:rsidP="00757D9F">
      <w:pPr>
        <w:rPr>
          <w:sz w:val="16"/>
          <w:szCs w:val="16"/>
        </w:rPr>
      </w:pPr>
      <w:r>
        <w:rPr>
          <w:sz w:val="16"/>
          <w:szCs w:val="16"/>
        </w:rPr>
        <w:t xml:space="preserve">                                                                                                                                                             </w:t>
      </w:r>
      <w:r w:rsidRPr="00C00DB1">
        <w:rPr>
          <w:sz w:val="28"/>
          <w:szCs w:val="28"/>
        </w:rPr>
        <w:t>Bamako, le</w:t>
      </w:r>
      <w:r>
        <w:rPr>
          <w:sz w:val="16"/>
          <w:szCs w:val="16"/>
        </w:rPr>
        <w:t xml:space="preserve"> ……………………….</w:t>
      </w:r>
    </w:p>
    <w:p w14:paraId="70875D53" w14:textId="77777777" w:rsidR="00757D9F" w:rsidRDefault="00757D9F" w:rsidP="00757D9F">
      <w:pPr>
        <w:rPr>
          <w:sz w:val="16"/>
          <w:szCs w:val="16"/>
        </w:rPr>
      </w:pPr>
    </w:p>
    <w:p w14:paraId="14141E62" w14:textId="77777777" w:rsidR="00757D9F" w:rsidRDefault="00757D9F" w:rsidP="00757D9F">
      <w:pPr>
        <w:rPr>
          <w:sz w:val="16"/>
          <w:szCs w:val="16"/>
        </w:rPr>
      </w:pPr>
    </w:p>
    <w:p w14:paraId="62DE585C" w14:textId="77777777" w:rsidR="00757D9F" w:rsidRPr="003800BE" w:rsidRDefault="00757D9F" w:rsidP="00757D9F">
      <w:pPr>
        <w:pStyle w:val="Paragraphedeliste"/>
        <w:rPr>
          <w:sz w:val="28"/>
          <w:szCs w:val="28"/>
        </w:rPr>
      </w:pPr>
      <w:r>
        <w:rPr>
          <w:rFonts w:cs="Times New Roman"/>
          <w:sz w:val="16"/>
          <w:szCs w:val="16"/>
        </w:rPr>
        <w:tab/>
      </w:r>
      <w:r w:rsidRPr="003800BE">
        <w:t xml:space="preserve">                 </w:t>
      </w:r>
      <w:r>
        <w:t xml:space="preserve">                                                                                             </w:t>
      </w:r>
      <w:r w:rsidRPr="003800BE">
        <w:rPr>
          <w:sz w:val="28"/>
          <w:szCs w:val="28"/>
        </w:rPr>
        <w:t xml:space="preserve">Le Recteur </w:t>
      </w:r>
    </w:p>
    <w:p w14:paraId="06F0BB8F" w14:textId="77777777" w:rsidR="00757D9F" w:rsidRPr="003800BE" w:rsidRDefault="00757D9F" w:rsidP="00757D9F">
      <w:pPr>
        <w:pStyle w:val="Paragraphedeliste"/>
      </w:pPr>
    </w:p>
    <w:p w14:paraId="5C581345" w14:textId="77777777" w:rsidR="00757D9F" w:rsidRDefault="00757D9F" w:rsidP="00757D9F">
      <w:pPr>
        <w:tabs>
          <w:tab w:val="left" w:pos="5955"/>
        </w:tabs>
        <w:rPr>
          <w:sz w:val="16"/>
          <w:szCs w:val="16"/>
        </w:rPr>
      </w:pPr>
    </w:p>
    <w:p w14:paraId="39E8325B" w14:textId="77777777" w:rsidR="00757D9F" w:rsidRDefault="00757D9F" w:rsidP="00757D9F">
      <w:pPr>
        <w:tabs>
          <w:tab w:val="left" w:pos="5955"/>
        </w:tabs>
        <w:rPr>
          <w:sz w:val="16"/>
          <w:szCs w:val="16"/>
        </w:rPr>
      </w:pPr>
    </w:p>
    <w:p w14:paraId="1BE0A34E" w14:textId="77777777" w:rsidR="00757D9F" w:rsidRDefault="00757D9F" w:rsidP="00757D9F">
      <w:pPr>
        <w:tabs>
          <w:tab w:val="left" w:pos="5955"/>
        </w:tabs>
        <w:rPr>
          <w:sz w:val="16"/>
          <w:szCs w:val="16"/>
        </w:rPr>
      </w:pPr>
    </w:p>
    <w:p w14:paraId="13E59D70" w14:textId="77777777" w:rsidR="00757D9F" w:rsidRPr="003800BE" w:rsidRDefault="00757D9F" w:rsidP="00757D9F">
      <w:pPr>
        <w:tabs>
          <w:tab w:val="left" w:pos="5955"/>
        </w:tabs>
        <w:rPr>
          <w:sz w:val="32"/>
          <w:szCs w:val="32"/>
          <w:u w:val="single"/>
        </w:rPr>
      </w:pPr>
      <w:r>
        <w:rPr>
          <w:sz w:val="16"/>
          <w:szCs w:val="16"/>
        </w:rPr>
        <w:t xml:space="preserve">                                                                                                                                                                  </w:t>
      </w:r>
      <w:r w:rsidRPr="003800BE">
        <w:rPr>
          <w:sz w:val="32"/>
          <w:szCs w:val="32"/>
          <w:u w:val="single"/>
        </w:rPr>
        <w:t xml:space="preserve">Dr </w:t>
      </w:r>
      <w:r>
        <w:rPr>
          <w:sz w:val="32"/>
          <w:szCs w:val="32"/>
          <w:u w:val="single"/>
        </w:rPr>
        <w:t>Mamadou KOUMARE</w:t>
      </w:r>
    </w:p>
    <w:p w14:paraId="6AD58AB5" w14:textId="77777777" w:rsidR="00757D9F" w:rsidRDefault="00757D9F" w:rsidP="00757D9F">
      <w:pPr>
        <w:tabs>
          <w:tab w:val="left" w:pos="5955"/>
        </w:tabs>
        <w:rPr>
          <w:sz w:val="16"/>
          <w:szCs w:val="16"/>
        </w:rPr>
      </w:pPr>
      <w:r w:rsidRPr="003800BE">
        <w:rPr>
          <w:sz w:val="16"/>
          <w:szCs w:val="16"/>
        </w:rPr>
        <w:t xml:space="preserve">                                                                                                                                                              </w:t>
      </w:r>
      <w:r>
        <w:rPr>
          <w:sz w:val="16"/>
          <w:szCs w:val="16"/>
        </w:rPr>
        <w:t xml:space="preserve">        </w:t>
      </w:r>
      <w:r w:rsidRPr="003800BE">
        <w:rPr>
          <w:sz w:val="16"/>
          <w:szCs w:val="16"/>
        </w:rPr>
        <w:t xml:space="preserve">  </w:t>
      </w:r>
      <w:r>
        <w:rPr>
          <w:sz w:val="16"/>
          <w:szCs w:val="16"/>
        </w:rPr>
        <w:t xml:space="preserve">         </w:t>
      </w:r>
      <w:r w:rsidRPr="003800BE">
        <w:rPr>
          <w:sz w:val="16"/>
          <w:szCs w:val="16"/>
        </w:rPr>
        <w:t xml:space="preserve">  Maître de Conférences</w:t>
      </w:r>
    </w:p>
    <w:p w14:paraId="07EC9268" w14:textId="77777777" w:rsidR="00D348FD" w:rsidRPr="00757D9F" w:rsidRDefault="00D348FD" w:rsidP="00757D9F"/>
    <w:sectPr w:rsidR="00D348FD" w:rsidRPr="00757D9F" w:rsidSect="0054559D">
      <w:pgSz w:w="11906" w:h="16838"/>
      <w:pgMar w:top="1135"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123DE"/>
    <w:multiLevelType w:val="hybridMultilevel"/>
    <w:tmpl w:val="84BCC0F8"/>
    <w:lvl w:ilvl="0" w:tplc="DFBA7472">
      <w:start w:val="2"/>
      <w:numFmt w:val="bullet"/>
      <w:lvlText w:val="-"/>
      <w:lvlJc w:val="left"/>
      <w:pPr>
        <w:ind w:left="720" w:hanging="360"/>
      </w:pPr>
      <w:rPr>
        <w:rFonts w:ascii="Verdana" w:eastAsia="Times New Roman" w:hAnsi="Verdana" w:cs="Verdana" w:hint="default"/>
        <w:b w:val="0"/>
      </w:rPr>
    </w:lvl>
    <w:lvl w:ilvl="1" w:tplc="C466348C" w:tentative="1">
      <w:start w:val="1"/>
      <w:numFmt w:val="bullet"/>
      <w:lvlText w:val="o"/>
      <w:lvlJc w:val="left"/>
      <w:pPr>
        <w:ind w:left="1440" w:hanging="360"/>
      </w:pPr>
      <w:rPr>
        <w:rFonts w:ascii="Courier New" w:hAnsi="Courier New" w:cs="Courier New" w:hint="default"/>
      </w:rPr>
    </w:lvl>
    <w:lvl w:ilvl="2" w:tplc="3C5058C6" w:tentative="1">
      <w:start w:val="1"/>
      <w:numFmt w:val="bullet"/>
      <w:lvlText w:val=""/>
      <w:lvlJc w:val="left"/>
      <w:pPr>
        <w:ind w:left="2160" w:hanging="360"/>
      </w:pPr>
      <w:rPr>
        <w:rFonts w:ascii="Wingdings" w:hAnsi="Wingdings" w:hint="default"/>
      </w:rPr>
    </w:lvl>
    <w:lvl w:ilvl="3" w:tplc="3A96E13C" w:tentative="1">
      <w:start w:val="1"/>
      <w:numFmt w:val="bullet"/>
      <w:lvlText w:val=""/>
      <w:lvlJc w:val="left"/>
      <w:pPr>
        <w:ind w:left="2880" w:hanging="360"/>
      </w:pPr>
      <w:rPr>
        <w:rFonts w:ascii="Symbol" w:hAnsi="Symbol" w:hint="default"/>
      </w:rPr>
    </w:lvl>
    <w:lvl w:ilvl="4" w:tplc="6B704778" w:tentative="1">
      <w:start w:val="1"/>
      <w:numFmt w:val="bullet"/>
      <w:lvlText w:val="o"/>
      <w:lvlJc w:val="left"/>
      <w:pPr>
        <w:ind w:left="3600" w:hanging="360"/>
      </w:pPr>
      <w:rPr>
        <w:rFonts w:ascii="Courier New" w:hAnsi="Courier New" w:cs="Courier New" w:hint="default"/>
      </w:rPr>
    </w:lvl>
    <w:lvl w:ilvl="5" w:tplc="495A78FC" w:tentative="1">
      <w:start w:val="1"/>
      <w:numFmt w:val="bullet"/>
      <w:lvlText w:val=""/>
      <w:lvlJc w:val="left"/>
      <w:pPr>
        <w:ind w:left="4320" w:hanging="360"/>
      </w:pPr>
      <w:rPr>
        <w:rFonts w:ascii="Wingdings" w:hAnsi="Wingdings" w:hint="default"/>
      </w:rPr>
    </w:lvl>
    <w:lvl w:ilvl="6" w:tplc="CF6C1FFC" w:tentative="1">
      <w:start w:val="1"/>
      <w:numFmt w:val="bullet"/>
      <w:lvlText w:val=""/>
      <w:lvlJc w:val="left"/>
      <w:pPr>
        <w:ind w:left="5040" w:hanging="360"/>
      </w:pPr>
      <w:rPr>
        <w:rFonts w:ascii="Symbol" w:hAnsi="Symbol" w:hint="default"/>
      </w:rPr>
    </w:lvl>
    <w:lvl w:ilvl="7" w:tplc="88B2B9A6" w:tentative="1">
      <w:start w:val="1"/>
      <w:numFmt w:val="bullet"/>
      <w:lvlText w:val="o"/>
      <w:lvlJc w:val="left"/>
      <w:pPr>
        <w:ind w:left="5760" w:hanging="360"/>
      </w:pPr>
      <w:rPr>
        <w:rFonts w:ascii="Courier New" w:hAnsi="Courier New" w:cs="Courier New" w:hint="default"/>
      </w:rPr>
    </w:lvl>
    <w:lvl w:ilvl="8" w:tplc="90D6D154" w:tentative="1">
      <w:start w:val="1"/>
      <w:numFmt w:val="bullet"/>
      <w:lvlText w:val=""/>
      <w:lvlJc w:val="left"/>
      <w:pPr>
        <w:ind w:left="6480" w:hanging="360"/>
      </w:pPr>
      <w:rPr>
        <w:rFonts w:ascii="Wingdings" w:hAnsi="Wingdings" w:hint="default"/>
      </w:rPr>
    </w:lvl>
  </w:abstractNum>
  <w:abstractNum w:abstractNumId="1" w15:restartNumberingAfterBreak="0">
    <w:nsid w:val="34ED1FA5"/>
    <w:multiLevelType w:val="hybridMultilevel"/>
    <w:tmpl w:val="7F369C6C"/>
    <w:lvl w:ilvl="0" w:tplc="FFFFFFFF">
      <w:start w:val="1"/>
      <w:numFmt w:val="decimal"/>
      <w:lvlText w:val="%1."/>
      <w:lvlJc w:val="left"/>
      <w:pPr>
        <w:tabs>
          <w:tab w:val="num" w:pos="720"/>
        </w:tabs>
        <w:ind w:left="720" w:hanging="72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20906911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2393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D14"/>
    <w:rsid w:val="000856A4"/>
    <w:rsid w:val="00414CB2"/>
    <w:rsid w:val="004204C4"/>
    <w:rsid w:val="005550FE"/>
    <w:rsid w:val="00597D14"/>
    <w:rsid w:val="00611460"/>
    <w:rsid w:val="00635E44"/>
    <w:rsid w:val="00757D9F"/>
    <w:rsid w:val="007A48A3"/>
    <w:rsid w:val="009D3D5F"/>
    <w:rsid w:val="00A0274A"/>
    <w:rsid w:val="00B67BBD"/>
    <w:rsid w:val="00BC3857"/>
    <w:rsid w:val="00CF6B18"/>
    <w:rsid w:val="00CF7F9D"/>
    <w:rsid w:val="00D348FD"/>
    <w:rsid w:val="00D8291A"/>
    <w:rsid w:val="00E6159C"/>
    <w:rsid w:val="00F36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6500F"/>
  <w15:chartTrackingRefBased/>
  <w15:docId w15:val="{B3B02432-60DA-4AC0-9428-06A618AA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D14"/>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597D14"/>
    <w:pPr>
      <w:spacing w:before="100" w:beforeAutospacing="1" w:after="100" w:afterAutospacing="1"/>
    </w:pPr>
    <w:rPr>
      <w:rFonts w:eastAsiaTheme="minorEastAsia"/>
    </w:rPr>
  </w:style>
  <w:style w:type="paragraph" w:styleId="Textedebulles">
    <w:name w:val="Balloon Text"/>
    <w:basedOn w:val="Normal"/>
    <w:link w:val="TextedebullesCar"/>
    <w:uiPriority w:val="99"/>
    <w:semiHidden/>
    <w:unhideWhenUsed/>
    <w:rsid w:val="00597D14"/>
    <w:rPr>
      <w:rFonts w:ascii="Segoe UI" w:hAnsi="Segoe UI" w:cs="Segoe UI"/>
      <w:sz w:val="18"/>
      <w:szCs w:val="18"/>
    </w:rPr>
  </w:style>
  <w:style w:type="character" w:customStyle="1" w:styleId="TextedebullesCar">
    <w:name w:val="Texte de bulles Car"/>
    <w:basedOn w:val="Policepardfaut"/>
    <w:link w:val="Textedebulles"/>
    <w:uiPriority w:val="99"/>
    <w:semiHidden/>
    <w:rsid w:val="00597D14"/>
    <w:rPr>
      <w:rFonts w:ascii="Segoe UI" w:eastAsia="Times New Roman" w:hAnsi="Segoe UI" w:cs="Segoe UI"/>
      <w:sz w:val="18"/>
      <w:szCs w:val="18"/>
      <w:lang w:val="fr-FR" w:eastAsia="fr-FR"/>
    </w:rPr>
  </w:style>
  <w:style w:type="character" w:styleId="Lienhypertexte">
    <w:name w:val="Hyperlink"/>
    <w:basedOn w:val="Policepardfaut"/>
    <w:uiPriority w:val="99"/>
    <w:rsid w:val="00757D9F"/>
    <w:rPr>
      <w:color w:val="0000FF"/>
      <w:u w:val="single"/>
    </w:rPr>
  </w:style>
  <w:style w:type="paragraph" w:styleId="Paragraphedeliste">
    <w:name w:val="List Paragraph"/>
    <w:basedOn w:val="Normal"/>
    <w:uiPriority w:val="34"/>
    <w:qFormat/>
    <w:rsid w:val="00757D9F"/>
    <w:pPr>
      <w:suppressAutoHyphens/>
      <w:overflowPunct w:val="0"/>
      <w:autoSpaceDE w:val="0"/>
      <w:autoSpaceDN w:val="0"/>
      <w:adjustRightInd w:val="0"/>
      <w:ind w:left="708"/>
      <w:jc w:val="both"/>
      <w:textAlignment w:val="baseline"/>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ssgb.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ssgb@yahoo.f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885</Words>
  <Characters>4873</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USSGB</cp:lastModifiedBy>
  <cp:revision>11</cp:revision>
  <cp:lastPrinted>2026-10-08T15:07:00Z</cp:lastPrinted>
  <dcterms:created xsi:type="dcterms:W3CDTF">2025-06-28T05:50:00Z</dcterms:created>
  <dcterms:modified xsi:type="dcterms:W3CDTF">2026-11-03T08:17:00Z</dcterms:modified>
</cp:coreProperties>
</file>