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19F" w:rsidRPr="00416257" w:rsidRDefault="00EB319F" w:rsidP="00EB319F">
      <w:pPr>
        <w:pStyle w:val="Titre1"/>
        <w:jc w:val="left"/>
        <w:rPr>
          <w:rFonts w:ascii="Garamond" w:hAnsi="Garamond"/>
          <w:b w:val="0"/>
          <w:sz w:val="24"/>
          <w:szCs w:val="24"/>
        </w:rPr>
      </w:pPr>
    </w:p>
    <w:p w:rsidR="00EB319F" w:rsidRPr="00C3529F" w:rsidRDefault="00EB319F" w:rsidP="00EB319F">
      <w:pPr>
        <w:pStyle w:val="Titre1"/>
        <w:rPr>
          <w:rFonts w:ascii="Garamond" w:hAnsi="Garamond"/>
          <w:b w:val="0"/>
          <w:sz w:val="24"/>
          <w:szCs w:val="24"/>
        </w:rPr>
      </w:pPr>
      <w:bookmarkStart w:id="0" w:name="_Toc507844738"/>
      <w:r w:rsidRPr="00C3529F">
        <w:rPr>
          <w:rFonts w:ascii="Garamond" w:hAnsi="Garamond"/>
          <w:sz w:val="24"/>
          <w:szCs w:val="24"/>
        </w:rPr>
        <w:t xml:space="preserve">Section I - Avis </w:t>
      </w:r>
      <w:bookmarkStart w:id="1" w:name="_Hlk204879724"/>
      <w:r w:rsidRPr="00C3529F">
        <w:rPr>
          <w:rFonts w:ascii="Garamond" w:hAnsi="Garamond"/>
          <w:sz w:val="24"/>
          <w:szCs w:val="24"/>
        </w:rPr>
        <w:t>d’Appel à Concurrence</w:t>
      </w:r>
      <w:bookmarkEnd w:id="0"/>
      <w:bookmarkEnd w:id="1"/>
    </w:p>
    <w:p w:rsidR="00EB319F" w:rsidRPr="00C3529F" w:rsidRDefault="00EB319F" w:rsidP="00EB319F">
      <w:pPr>
        <w:jc w:val="center"/>
        <w:rPr>
          <w:rFonts w:ascii="Garamond" w:hAnsi="Garamond"/>
          <w:szCs w:val="24"/>
        </w:rPr>
      </w:pPr>
    </w:p>
    <w:p w:rsidR="00EB319F" w:rsidRPr="00C3529F" w:rsidRDefault="00EB319F" w:rsidP="00EB319F">
      <w:pPr>
        <w:jc w:val="center"/>
        <w:rPr>
          <w:rFonts w:ascii="Garamond" w:hAnsi="Garamond"/>
          <w:b/>
          <w:bCs/>
          <w:iCs/>
          <w:szCs w:val="24"/>
        </w:rPr>
      </w:pPr>
      <w:r w:rsidRPr="00C3529F">
        <w:rPr>
          <w:rFonts w:ascii="Garamond" w:hAnsi="Garamond"/>
          <w:b/>
          <w:bCs/>
          <w:iCs/>
          <w:szCs w:val="24"/>
        </w:rPr>
        <w:t xml:space="preserve"> DRPCO N°----/F – 2026</w:t>
      </w:r>
    </w:p>
    <w:p w:rsidR="00EB319F" w:rsidRPr="00C3529F" w:rsidRDefault="00EB319F" w:rsidP="00EB319F">
      <w:pPr>
        <w:jc w:val="center"/>
        <w:rPr>
          <w:rFonts w:ascii="Garamond" w:hAnsi="Garamond"/>
          <w:b/>
          <w:bCs/>
          <w:i/>
          <w:iCs/>
          <w:szCs w:val="24"/>
        </w:rPr>
      </w:pPr>
    </w:p>
    <w:p w:rsidR="00EB319F" w:rsidRPr="00C3529F" w:rsidRDefault="00EB319F" w:rsidP="00EB319F">
      <w:pPr>
        <w:rPr>
          <w:rFonts w:ascii="Garamond" w:hAnsi="Garamond"/>
          <w:b/>
          <w:szCs w:val="24"/>
        </w:rPr>
      </w:pPr>
      <w:r w:rsidRPr="00C3529F">
        <w:rPr>
          <w:rFonts w:ascii="Garamond" w:hAnsi="Garamond"/>
          <w:szCs w:val="24"/>
        </w:rPr>
        <w:t xml:space="preserve">Cet Avis d’appel d’offres fait suite à l’Avis Général de Passation des Marchés paru dans le </w:t>
      </w:r>
      <w:r w:rsidRPr="00C3529F">
        <w:rPr>
          <w:rFonts w:ascii="Garamond" w:hAnsi="Garamond"/>
          <w:b/>
          <w:szCs w:val="24"/>
        </w:rPr>
        <w:t xml:space="preserve">quotidien malien d’informations générales « LE REPUBLICAIN » n°7563 du vendredi 09 </w:t>
      </w:r>
      <w:bookmarkStart w:id="2" w:name="_GoBack"/>
      <w:bookmarkEnd w:id="2"/>
      <w:r w:rsidRPr="00C3529F">
        <w:rPr>
          <w:rFonts w:ascii="Garamond" w:hAnsi="Garamond"/>
          <w:b/>
          <w:szCs w:val="24"/>
        </w:rPr>
        <w:t>octobre 2026.</w:t>
      </w:r>
    </w:p>
    <w:p w:rsidR="00EB319F" w:rsidRPr="00C3529F" w:rsidRDefault="00EB319F" w:rsidP="00EB319F">
      <w:pPr>
        <w:pStyle w:val="Paragraphedeliste"/>
        <w:ind w:left="284"/>
        <w:jc w:val="both"/>
        <w:rPr>
          <w:rFonts w:ascii="Garamond" w:hAnsi="Garamond"/>
          <w:iCs/>
          <w:szCs w:val="24"/>
        </w:rPr>
      </w:pPr>
    </w:p>
    <w:p w:rsidR="00EB319F" w:rsidRPr="00C3529F" w:rsidRDefault="00EB319F" w:rsidP="00EB319F">
      <w:pPr>
        <w:pStyle w:val="Paragraphedeliste"/>
        <w:numPr>
          <w:ilvl w:val="0"/>
          <w:numId w:val="1"/>
        </w:numPr>
        <w:spacing w:after="240"/>
        <w:ind w:left="284"/>
        <w:jc w:val="both"/>
        <w:rPr>
          <w:rFonts w:ascii="Garamond" w:hAnsi="Garamond"/>
          <w:b/>
          <w:szCs w:val="24"/>
        </w:rPr>
      </w:pPr>
      <w:r w:rsidRPr="00C3529F">
        <w:rPr>
          <w:rFonts w:ascii="Garamond" w:hAnsi="Garamond"/>
          <w:szCs w:val="24"/>
        </w:rPr>
        <w:t xml:space="preserve">Le </w:t>
      </w:r>
      <w:r w:rsidRPr="00C3529F">
        <w:rPr>
          <w:rFonts w:ascii="Garamond" w:hAnsi="Garamond"/>
          <w:b/>
          <w:szCs w:val="24"/>
        </w:rPr>
        <w:t xml:space="preserve">Centre National de la Cinématographie du Mali (CNCM) </w:t>
      </w:r>
      <w:r w:rsidRPr="00C3529F">
        <w:rPr>
          <w:rFonts w:ascii="Garamond" w:hAnsi="Garamond"/>
          <w:szCs w:val="24"/>
        </w:rPr>
        <w:t>dispose de fonds sur le budget de l’État,</w:t>
      </w:r>
      <w:r>
        <w:rPr>
          <w:rFonts w:ascii="Garamond" w:hAnsi="Garamond"/>
          <w:szCs w:val="24"/>
        </w:rPr>
        <w:t xml:space="preserve"> au titre de l’exercices 2026-2027</w:t>
      </w:r>
      <w:r w:rsidRPr="00C3529F">
        <w:rPr>
          <w:rFonts w:ascii="Garamond" w:hAnsi="Garamond"/>
          <w:szCs w:val="24"/>
        </w:rPr>
        <w:t xml:space="preserve"> afin de financer </w:t>
      </w:r>
      <w:r w:rsidRPr="00C3529F">
        <w:rPr>
          <w:rFonts w:ascii="Garamond" w:hAnsi="Garamond"/>
          <w:b/>
          <w:szCs w:val="24"/>
        </w:rPr>
        <w:t xml:space="preserve">Fourniture et installation de chaises pour les salles de cinéma </w:t>
      </w:r>
      <w:r w:rsidRPr="00C3529F">
        <w:rPr>
          <w:rFonts w:ascii="Garamond" w:hAnsi="Garamond"/>
          <w:b/>
          <w:i/>
          <w:szCs w:val="24"/>
        </w:rPr>
        <w:t>El Hilal</w:t>
      </w:r>
      <w:r w:rsidRPr="00C3529F">
        <w:rPr>
          <w:rFonts w:ascii="Garamond" w:hAnsi="Garamond"/>
          <w:b/>
          <w:szCs w:val="24"/>
        </w:rPr>
        <w:t xml:space="preserve"> (Médina </w:t>
      </w:r>
      <w:proofErr w:type="spellStart"/>
      <w:r w:rsidRPr="00C3529F">
        <w:rPr>
          <w:rFonts w:ascii="Garamond" w:hAnsi="Garamond"/>
          <w:b/>
          <w:szCs w:val="24"/>
        </w:rPr>
        <w:t>coura</w:t>
      </w:r>
      <w:proofErr w:type="spellEnd"/>
      <w:r w:rsidRPr="00C3529F">
        <w:rPr>
          <w:rFonts w:ascii="Garamond" w:hAnsi="Garamond"/>
          <w:b/>
          <w:szCs w:val="24"/>
        </w:rPr>
        <w:t xml:space="preserve">), </w:t>
      </w:r>
      <w:r w:rsidRPr="00C3529F">
        <w:rPr>
          <w:rFonts w:ascii="Garamond" w:hAnsi="Garamond"/>
          <w:b/>
          <w:i/>
          <w:szCs w:val="24"/>
        </w:rPr>
        <w:t>Lafia</w:t>
      </w:r>
      <w:r w:rsidRPr="00C3529F">
        <w:rPr>
          <w:rFonts w:ascii="Garamond" w:hAnsi="Garamond"/>
          <w:b/>
          <w:szCs w:val="24"/>
        </w:rPr>
        <w:t xml:space="preserve"> (Kati) et </w:t>
      </w:r>
      <w:proofErr w:type="spellStart"/>
      <w:r w:rsidRPr="00C3529F">
        <w:rPr>
          <w:rFonts w:ascii="Garamond" w:hAnsi="Garamond"/>
          <w:b/>
          <w:i/>
          <w:szCs w:val="24"/>
        </w:rPr>
        <w:t>Méguétan</w:t>
      </w:r>
      <w:proofErr w:type="spellEnd"/>
      <w:r w:rsidRPr="00C3529F">
        <w:rPr>
          <w:rFonts w:ascii="Garamond" w:hAnsi="Garamond"/>
          <w:b/>
          <w:szCs w:val="24"/>
        </w:rPr>
        <w:t xml:space="preserve"> (Koulikoro) </w:t>
      </w:r>
      <w:r w:rsidRPr="00C3529F">
        <w:rPr>
          <w:rFonts w:ascii="Garamond" w:hAnsi="Garamond"/>
          <w:b/>
          <w:iCs/>
          <w:szCs w:val="24"/>
        </w:rPr>
        <w:t>en lot unique</w:t>
      </w:r>
      <w:r w:rsidRPr="00C3529F">
        <w:rPr>
          <w:rFonts w:ascii="Garamond" w:hAnsi="Garamond"/>
          <w:b/>
          <w:i/>
          <w:szCs w:val="24"/>
        </w:rPr>
        <w:t xml:space="preserve">, </w:t>
      </w:r>
      <w:r w:rsidRPr="00C3529F">
        <w:rPr>
          <w:rFonts w:ascii="Garamond" w:hAnsi="Garamond"/>
          <w:szCs w:val="24"/>
        </w:rPr>
        <w:t>et a l’intention d’utiliser une partie de ces fonds pour effectuer des paiements au titre du Marché</w:t>
      </w:r>
      <w:r>
        <w:rPr>
          <w:rFonts w:ascii="Garamond" w:hAnsi="Garamond"/>
          <w:szCs w:val="24"/>
        </w:rPr>
        <w:t>.</w:t>
      </w:r>
    </w:p>
    <w:p w:rsidR="00EB319F" w:rsidRPr="00C3529F" w:rsidRDefault="00EB319F" w:rsidP="00EB319F">
      <w:pPr>
        <w:pStyle w:val="Paragraphedeliste"/>
        <w:ind w:left="284"/>
        <w:jc w:val="both"/>
        <w:rPr>
          <w:rFonts w:ascii="Garamond" w:hAnsi="Garamond"/>
          <w:b/>
          <w:szCs w:val="24"/>
        </w:rPr>
      </w:pPr>
    </w:p>
    <w:p w:rsidR="00EB319F" w:rsidRPr="00C3529F" w:rsidRDefault="00EB319F" w:rsidP="00EB319F">
      <w:pPr>
        <w:pStyle w:val="Paragraphedeliste"/>
        <w:numPr>
          <w:ilvl w:val="0"/>
          <w:numId w:val="1"/>
        </w:numPr>
        <w:ind w:left="284"/>
        <w:jc w:val="both"/>
        <w:rPr>
          <w:rFonts w:ascii="Garamond" w:hAnsi="Garamond"/>
          <w:b/>
          <w:szCs w:val="24"/>
        </w:rPr>
      </w:pPr>
      <w:r w:rsidRPr="00C3529F">
        <w:rPr>
          <w:rFonts w:ascii="Garamond" w:hAnsi="Garamond"/>
          <w:szCs w:val="24"/>
        </w:rPr>
        <w:t xml:space="preserve">Le </w:t>
      </w:r>
      <w:r w:rsidRPr="00C3529F">
        <w:rPr>
          <w:rFonts w:ascii="Garamond" w:hAnsi="Garamond"/>
          <w:b/>
          <w:szCs w:val="24"/>
        </w:rPr>
        <w:t>Centre National de la Cinématographie du Mali (CNCM)</w:t>
      </w:r>
      <w:r w:rsidRPr="00C3529F">
        <w:rPr>
          <w:rFonts w:ascii="Garamond" w:hAnsi="Garamond"/>
          <w:szCs w:val="24"/>
        </w:rPr>
        <w:t xml:space="preserve"> sollicite des offres fermées de la part de candidats éligibles et répondant aux qualifications requises pour </w:t>
      </w:r>
      <w:r w:rsidRPr="00C3529F">
        <w:rPr>
          <w:rFonts w:ascii="Garamond" w:hAnsi="Garamond"/>
          <w:b/>
          <w:szCs w:val="24"/>
        </w:rPr>
        <w:t xml:space="preserve">Fourniture et installation de chaises pour les salles de cinéma </w:t>
      </w:r>
      <w:r w:rsidRPr="00C3529F">
        <w:rPr>
          <w:rFonts w:ascii="Garamond" w:hAnsi="Garamond"/>
          <w:b/>
          <w:i/>
          <w:szCs w:val="24"/>
        </w:rPr>
        <w:t>El Hilal</w:t>
      </w:r>
      <w:r w:rsidRPr="00C3529F">
        <w:rPr>
          <w:rFonts w:ascii="Garamond" w:hAnsi="Garamond"/>
          <w:b/>
          <w:szCs w:val="24"/>
        </w:rPr>
        <w:t xml:space="preserve"> (Médina </w:t>
      </w:r>
      <w:proofErr w:type="spellStart"/>
      <w:r w:rsidRPr="00C3529F">
        <w:rPr>
          <w:rFonts w:ascii="Garamond" w:hAnsi="Garamond"/>
          <w:b/>
          <w:szCs w:val="24"/>
        </w:rPr>
        <w:t>coura</w:t>
      </w:r>
      <w:proofErr w:type="spellEnd"/>
      <w:r w:rsidRPr="00C3529F">
        <w:rPr>
          <w:rFonts w:ascii="Garamond" w:hAnsi="Garamond"/>
          <w:b/>
          <w:szCs w:val="24"/>
        </w:rPr>
        <w:t xml:space="preserve">), </w:t>
      </w:r>
      <w:r w:rsidRPr="00C3529F">
        <w:rPr>
          <w:rFonts w:ascii="Garamond" w:hAnsi="Garamond"/>
          <w:b/>
          <w:i/>
          <w:szCs w:val="24"/>
        </w:rPr>
        <w:t>Lafia</w:t>
      </w:r>
      <w:r w:rsidRPr="00C3529F">
        <w:rPr>
          <w:rFonts w:ascii="Garamond" w:hAnsi="Garamond"/>
          <w:b/>
          <w:szCs w:val="24"/>
        </w:rPr>
        <w:t xml:space="preserve"> (Kati) et </w:t>
      </w:r>
      <w:proofErr w:type="spellStart"/>
      <w:r w:rsidRPr="00C3529F">
        <w:rPr>
          <w:rFonts w:ascii="Garamond" w:hAnsi="Garamond"/>
          <w:b/>
          <w:i/>
          <w:szCs w:val="24"/>
        </w:rPr>
        <w:t>Méguétan</w:t>
      </w:r>
      <w:proofErr w:type="spellEnd"/>
      <w:r w:rsidRPr="00C3529F">
        <w:rPr>
          <w:rFonts w:ascii="Garamond" w:hAnsi="Garamond"/>
          <w:b/>
          <w:szCs w:val="24"/>
        </w:rPr>
        <w:t xml:space="preserve"> (Koulikoro) </w:t>
      </w:r>
      <w:r w:rsidRPr="00C3529F">
        <w:rPr>
          <w:rFonts w:ascii="Garamond" w:hAnsi="Garamond"/>
          <w:b/>
          <w:iCs/>
          <w:szCs w:val="24"/>
        </w:rPr>
        <w:t>en lot unique.</w:t>
      </w:r>
    </w:p>
    <w:p w:rsidR="00EB319F" w:rsidRPr="00C3529F" w:rsidRDefault="00EB319F" w:rsidP="00EB319F">
      <w:pPr>
        <w:pStyle w:val="Paragraphedeliste"/>
        <w:rPr>
          <w:rFonts w:ascii="Garamond" w:hAnsi="Garamond"/>
          <w:b/>
          <w:szCs w:val="24"/>
        </w:rPr>
      </w:pPr>
    </w:p>
    <w:p w:rsidR="00EB319F" w:rsidRPr="00C3529F" w:rsidRDefault="00EB319F" w:rsidP="00EB319F">
      <w:pPr>
        <w:pStyle w:val="Paragraphedeliste"/>
        <w:spacing w:after="240"/>
        <w:ind w:left="284"/>
        <w:jc w:val="both"/>
        <w:rPr>
          <w:rFonts w:ascii="Garamond" w:hAnsi="Garamond"/>
          <w:b/>
          <w:szCs w:val="24"/>
        </w:rPr>
      </w:pPr>
    </w:p>
    <w:p w:rsidR="00EB319F" w:rsidRPr="00C3529F" w:rsidRDefault="00EB319F" w:rsidP="00EB319F">
      <w:pPr>
        <w:pStyle w:val="Paragraphedeliste"/>
        <w:numPr>
          <w:ilvl w:val="0"/>
          <w:numId w:val="1"/>
        </w:numPr>
        <w:ind w:left="284"/>
        <w:jc w:val="both"/>
        <w:rPr>
          <w:rFonts w:ascii="Garamond" w:hAnsi="Garamond"/>
          <w:szCs w:val="24"/>
        </w:rPr>
      </w:pPr>
      <w:r w:rsidRPr="00C3529F">
        <w:rPr>
          <w:rFonts w:ascii="Garamond" w:hAnsi="Garamond"/>
          <w:szCs w:val="24"/>
        </w:rPr>
        <w:t>La passation du Marché sera conduite par Demande de Renseignement et de Prix à compétition Ouverte (DRPO) telle que définie à l’article 24 de l’arrêté n°2015-3721/MEF-SG du 22 octobre 2015, modifié, fixant les modalités d’application du Décret n°2015-0604/P-RM du 25 septembre 2015, modifié, portant du code des marchés publics du Mali</w:t>
      </w:r>
      <w:r w:rsidRPr="00C3529F">
        <w:rPr>
          <w:rFonts w:ascii="Garamond" w:hAnsi="Garamond"/>
          <w:i/>
          <w:iCs/>
          <w:szCs w:val="24"/>
        </w:rPr>
        <w:t>,</w:t>
      </w:r>
      <w:r w:rsidRPr="00C3529F">
        <w:rPr>
          <w:rFonts w:ascii="Garamond" w:hAnsi="Garamond"/>
          <w:szCs w:val="24"/>
        </w:rPr>
        <w:t xml:space="preserve"> et ouvert à tous les candidats éligibles. </w:t>
      </w:r>
    </w:p>
    <w:p w:rsidR="00EB319F" w:rsidRPr="00C3529F" w:rsidRDefault="00EB319F" w:rsidP="00EB319F">
      <w:pPr>
        <w:pStyle w:val="Paragraphedeliste"/>
        <w:rPr>
          <w:rFonts w:ascii="Garamond" w:hAnsi="Garamond"/>
          <w:szCs w:val="24"/>
        </w:rPr>
      </w:pPr>
    </w:p>
    <w:p w:rsidR="00EB319F" w:rsidRPr="002478A6" w:rsidRDefault="00EB319F" w:rsidP="00EB319F">
      <w:pPr>
        <w:pStyle w:val="Paragraphedeliste"/>
        <w:numPr>
          <w:ilvl w:val="0"/>
          <w:numId w:val="1"/>
        </w:numPr>
        <w:ind w:left="284"/>
        <w:jc w:val="both"/>
        <w:rPr>
          <w:rFonts w:ascii="Garamond" w:hAnsi="Garamond"/>
          <w:szCs w:val="24"/>
        </w:rPr>
      </w:pPr>
      <w:r w:rsidRPr="00C3529F">
        <w:rPr>
          <w:rFonts w:ascii="Garamond" w:hAnsi="Garamond"/>
          <w:szCs w:val="24"/>
        </w:rPr>
        <w:t xml:space="preserve">Les candidats intéressés peuvent obtenir des informations auprès de la Direction Générale du CNCM à l’adresse suivante </w:t>
      </w:r>
      <w:proofErr w:type="gramStart"/>
      <w:r w:rsidRPr="00C3529F">
        <w:rPr>
          <w:rFonts w:ascii="Garamond" w:hAnsi="Garamond"/>
          <w:szCs w:val="24"/>
        </w:rPr>
        <w:t>:</w:t>
      </w:r>
      <w:r w:rsidRPr="002478A6">
        <w:rPr>
          <w:rFonts w:ascii="Garamond" w:hAnsi="Garamond"/>
          <w:b/>
          <w:szCs w:val="24"/>
          <w:lang w:val="fr-ML"/>
        </w:rPr>
        <w:t>Centre</w:t>
      </w:r>
      <w:proofErr w:type="gramEnd"/>
      <w:r w:rsidRPr="002478A6">
        <w:rPr>
          <w:rFonts w:ascii="Garamond" w:hAnsi="Garamond"/>
          <w:b/>
          <w:szCs w:val="24"/>
          <w:lang w:val="fr-ML"/>
        </w:rPr>
        <w:t xml:space="preserve"> National de la Cinématographie du Mali (CNCM)</w:t>
      </w:r>
      <w:r w:rsidRPr="002478A6">
        <w:rPr>
          <w:rFonts w:ascii="Garamond" w:hAnsi="Garamond"/>
          <w:szCs w:val="24"/>
          <w:lang w:val="fr-ML"/>
        </w:rPr>
        <w:t xml:space="preserve">. </w:t>
      </w:r>
      <w:r w:rsidRPr="002478A6">
        <w:rPr>
          <w:rFonts w:ascii="Garamond" w:hAnsi="Garamond"/>
          <w:szCs w:val="24"/>
        </w:rPr>
        <w:t xml:space="preserve">BP : E.4075-Avenue Balla Moussa KEÏTA, derrière Hôtel de l’Amitié. </w:t>
      </w:r>
      <w:proofErr w:type="spellStart"/>
      <w:r w:rsidRPr="002478A6">
        <w:rPr>
          <w:rFonts w:ascii="Garamond" w:hAnsi="Garamond"/>
          <w:szCs w:val="24"/>
          <w:lang w:val="en-US"/>
        </w:rPr>
        <w:t>Tél</w:t>
      </w:r>
      <w:proofErr w:type="spellEnd"/>
      <w:r w:rsidRPr="002478A6">
        <w:rPr>
          <w:rFonts w:ascii="Garamond" w:hAnsi="Garamond"/>
          <w:szCs w:val="24"/>
          <w:lang w:val="en-US"/>
        </w:rPr>
        <w:t xml:space="preserve">: 20215913. Bamako. Email: </w:t>
      </w:r>
      <w:hyperlink r:id="rId5" w:history="1">
        <w:r w:rsidRPr="002478A6">
          <w:rPr>
            <w:rStyle w:val="Lienhypertexte"/>
            <w:rFonts w:ascii="Garamond" w:hAnsi="Garamond"/>
            <w:b/>
            <w:szCs w:val="24"/>
            <w:lang w:val="en-US"/>
          </w:rPr>
          <w:t>cncmali19@gmail.com</w:t>
        </w:r>
      </w:hyperlink>
      <w:r w:rsidRPr="002478A6">
        <w:rPr>
          <w:rFonts w:ascii="Garamond" w:hAnsi="Garamond"/>
          <w:b/>
          <w:szCs w:val="24"/>
          <w:lang w:val="en-US"/>
        </w:rPr>
        <w:t>. Site Web: www.cncm.ml.</w:t>
      </w:r>
      <w:hyperlink r:id="rId6" w:history="1"/>
    </w:p>
    <w:p w:rsidR="00EB319F" w:rsidRPr="00C3529F" w:rsidRDefault="00EB319F" w:rsidP="00EB319F">
      <w:pPr>
        <w:rPr>
          <w:rFonts w:ascii="Garamond" w:hAnsi="Garamond"/>
          <w:szCs w:val="24"/>
          <w:lang w:val="en-US"/>
        </w:rPr>
      </w:pPr>
    </w:p>
    <w:p w:rsidR="00EB319F" w:rsidRPr="00C3529F" w:rsidRDefault="00EB319F" w:rsidP="00EB319F">
      <w:pPr>
        <w:rPr>
          <w:rFonts w:ascii="Garamond" w:hAnsi="Garamond"/>
          <w:szCs w:val="24"/>
        </w:rPr>
      </w:pPr>
      <w:proofErr w:type="gramStart"/>
      <w:r w:rsidRPr="00C3529F">
        <w:rPr>
          <w:rFonts w:ascii="Garamond" w:hAnsi="Garamond"/>
          <w:szCs w:val="24"/>
        </w:rPr>
        <w:t>et</w:t>
      </w:r>
      <w:proofErr w:type="gramEnd"/>
      <w:r w:rsidRPr="00C3529F">
        <w:rPr>
          <w:rFonts w:ascii="Garamond" w:hAnsi="Garamond"/>
          <w:szCs w:val="24"/>
        </w:rPr>
        <w:t xml:space="preserve"> prendre connaissance des documents de la Demande de Renseignement et de Prix à compétition Ouverte (DRPO) à l’adresse susmentionnée. Le dossier peut être consulté du lundi au vendredi pendant les heures de service.</w:t>
      </w:r>
    </w:p>
    <w:p w:rsidR="00EB319F" w:rsidRPr="00C3529F" w:rsidRDefault="00EB319F" w:rsidP="00EB319F">
      <w:pPr>
        <w:rPr>
          <w:rFonts w:ascii="Garamond" w:hAnsi="Garamond"/>
          <w:szCs w:val="24"/>
        </w:rPr>
      </w:pPr>
    </w:p>
    <w:p w:rsidR="00EB319F" w:rsidRPr="00C3529F" w:rsidRDefault="00EB319F" w:rsidP="00EB319F">
      <w:pPr>
        <w:pStyle w:val="Paragraphedeliste"/>
        <w:numPr>
          <w:ilvl w:val="0"/>
          <w:numId w:val="1"/>
        </w:numPr>
        <w:ind w:left="283" w:hanging="357"/>
        <w:jc w:val="both"/>
        <w:rPr>
          <w:rFonts w:ascii="Garamond" w:hAnsi="Garamond"/>
          <w:szCs w:val="24"/>
        </w:rPr>
      </w:pPr>
      <w:r w:rsidRPr="00C3529F">
        <w:rPr>
          <w:rFonts w:ascii="Garamond" w:hAnsi="Garamond"/>
          <w:szCs w:val="24"/>
        </w:rPr>
        <w:t xml:space="preserve">Les exigences en matière de qualifications sont : </w:t>
      </w:r>
    </w:p>
    <w:p w:rsidR="00EB319F" w:rsidRPr="00C3529F" w:rsidRDefault="00EB319F" w:rsidP="00EB319F">
      <w:pPr>
        <w:pStyle w:val="Paragraphedeliste"/>
        <w:ind w:left="283"/>
        <w:jc w:val="both"/>
        <w:rPr>
          <w:rFonts w:ascii="Garamond" w:hAnsi="Garamond"/>
          <w:szCs w:val="24"/>
        </w:rPr>
      </w:pPr>
    </w:p>
    <w:p w:rsidR="00EB319F" w:rsidRPr="00C3529F" w:rsidRDefault="00EB319F" w:rsidP="00EB319F">
      <w:pPr>
        <w:rPr>
          <w:rFonts w:ascii="Garamond" w:hAnsi="Garamond"/>
          <w:szCs w:val="24"/>
        </w:rPr>
      </w:pPr>
      <w:r w:rsidRPr="00C3529F">
        <w:rPr>
          <w:rFonts w:ascii="Garamond" w:hAnsi="Garamond"/>
          <w:szCs w:val="24"/>
        </w:rPr>
        <w:t xml:space="preserve"> Capacité technique et expérience</w:t>
      </w:r>
    </w:p>
    <w:p w:rsidR="00EB319F" w:rsidRPr="00C3529F" w:rsidRDefault="00EB319F" w:rsidP="00EB319F">
      <w:pPr>
        <w:ind w:left="540" w:hanging="540"/>
        <w:rPr>
          <w:rFonts w:ascii="Garamond" w:hAnsi="Garamond"/>
          <w:szCs w:val="24"/>
        </w:rPr>
      </w:pPr>
    </w:p>
    <w:p w:rsidR="00EB319F" w:rsidRPr="00C3529F" w:rsidRDefault="00EB319F" w:rsidP="00EB319F">
      <w:pPr>
        <w:pStyle w:val="Paragraphedeliste"/>
        <w:ind w:left="426"/>
        <w:jc w:val="both"/>
        <w:rPr>
          <w:rFonts w:ascii="Garamond" w:hAnsi="Garamond"/>
          <w:szCs w:val="24"/>
        </w:rPr>
      </w:pPr>
      <w:r w:rsidRPr="00C3529F">
        <w:rPr>
          <w:rFonts w:ascii="Garamond" w:hAnsi="Garamond"/>
          <w:szCs w:val="24"/>
        </w:rPr>
        <w:t>Le Soumissionnaire</w:t>
      </w:r>
      <w:r w:rsidRPr="00C3529F" w:rsidDel="002A4657">
        <w:rPr>
          <w:rFonts w:ascii="Garamond" w:hAnsi="Garamond"/>
          <w:szCs w:val="24"/>
        </w:rPr>
        <w:t xml:space="preserve"> </w:t>
      </w:r>
      <w:r w:rsidRPr="00C3529F">
        <w:rPr>
          <w:rFonts w:ascii="Garamond" w:hAnsi="Garamond"/>
          <w:szCs w:val="24"/>
        </w:rPr>
        <w:t xml:space="preserve">doit fournir la preuve écrite qu’il satisfait aux exigences ci-après : </w:t>
      </w:r>
    </w:p>
    <w:p w:rsidR="00EB319F" w:rsidRPr="00C3529F" w:rsidRDefault="00EB319F" w:rsidP="00EB319F">
      <w:pPr>
        <w:pStyle w:val="Paragraphedeliste"/>
        <w:ind w:left="426"/>
        <w:jc w:val="both"/>
        <w:rPr>
          <w:rFonts w:ascii="Garamond" w:hAnsi="Garamond"/>
          <w:iCs/>
          <w:szCs w:val="24"/>
        </w:rPr>
      </w:pPr>
      <w:r w:rsidRPr="00C3529F">
        <w:rPr>
          <w:rFonts w:ascii="Garamond" w:hAnsi="Garamond"/>
          <w:iCs/>
          <w:szCs w:val="24"/>
        </w:rPr>
        <w:t>Pour les exigences en matière de qualifications, le soumissionnaire doit prouver, documentation à l’appui, qu’il satisfait aux exigences d’expérience ci-après: pour les cinq (05) dernières années (2021, 2022, 2023, 2024 et 2025) avoir exécuté deux (02) marchés similaires d’une valeur au moins égal à soixante-dix millions (70 000 000) F CFA avec attestations de bonne exécution et/ou les PV de réception provisoire ou définitive et les copies des pages de garde et des pages de signatures des marchés.;</w:t>
      </w:r>
    </w:p>
    <w:p w:rsidR="00EB319F" w:rsidRPr="00C3529F" w:rsidRDefault="00EB319F" w:rsidP="00EB319F">
      <w:pPr>
        <w:pStyle w:val="Paragraphedeliste"/>
        <w:ind w:left="426"/>
        <w:jc w:val="both"/>
        <w:rPr>
          <w:rFonts w:ascii="Garamond" w:hAnsi="Garamond"/>
          <w:iCs/>
          <w:szCs w:val="24"/>
        </w:rPr>
      </w:pPr>
    </w:p>
    <w:p w:rsidR="00EB319F" w:rsidRPr="00C3529F" w:rsidRDefault="00EB319F" w:rsidP="00EB319F">
      <w:pPr>
        <w:pStyle w:val="Paragraphedeliste"/>
        <w:ind w:left="426"/>
        <w:jc w:val="both"/>
        <w:rPr>
          <w:rFonts w:ascii="Garamond" w:hAnsi="Garamond"/>
          <w:b/>
          <w:iCs/>
          <w:szCs w:val="24"/>
        </w:rPr>
      </w:pPr>
      <w:r w:rsidRPr="00C3529F">
        <w:rPr>
          <w:rFonts w:ascii="Garamond" w:hAnsi="Garamond"/>
          <w:iCs/>
          <w:szCs w:val="24"/>
        </w:rPr>
        <w:t xml:space="preserve">Les sociétés nouvellement créées doivent fournir une attestation bancaire de disponibilité de fonds ou d’engagement à financer le marché d’un montant au moins égal à </w:t>
      </w:r>
      <w:r w:rsidRPr="00C3529F">
        <w:rPr>
          <w:rFonts w:ascii="Garamond" w:hAnsi="Garamond"/>
          <w:b/>
          <w:iCs/>
          <w:szCs w:val="24"/>
        </w:rPr>
        <w:t xml:space="preserve">30% du montant </w:t>
      </w:r>
      <w:r w:rsidRPr="00C3529F">
        <w:rPr>
          <w:rFonts w:ascii="Garamond" w:hAnsi="Garamond"/>
          <w:b/>
          <w:iCs/>
          <w:szCs w:val="24"/>
        </w:rPr>
        <w:lastRenderedPageBreak/>
        <w:t>prévisionnel du marché (L’attestation doit être conforme au modèle donné dans le présent dossier).</w:t>
      </w:r>
    </w:p>
    <w:p w:rsidR="00EB319F" w:rsidRPr="00C3529F" w:rsidRDefault="00EB319F" w:rsidP="00EB319F">
      <w:pPr>
        <w:pStyle w:val="Paragraphedeliste"/>
        <w:ind w:left="426"/>
        <w:jc w:val="both"/>
        <w:rPr>
          <w:rFonts w:ascii="Garamond" w:hAnsi="Garamond"/>
          <w:szCs w:val="24"/>
        </w:rPr>
      </w:pPr>
    </w:p>
    <w:p w:rsidR="00EB319F" w:rsidRPr="00C3529F" w:rsidRDefault="00EB319F" w:rsidP="00EB319F">
      <w:pPr>
        <w:pStyle w:val="Paragraphedeliste"/>
        <w:suppressAutoHyphens/>
        <w:jc w:val="both"/>
        <w:rPr>
          <w:rFonts w:ascii="Garamond" w:hAnsi="Garamond"/>
          <w:szCs w:val="24"/>
        </w:rPr>
      </w:pPr>
    </w:p>
    <w:p w:rsidR="00EB319F" w:rsidRPr="00397B76" w:rsidRDefault="00EB319F" w:rsidP="00EB319F">
      <w:pPr>
        <w:rPr>
          <w:rFonts w:ascii="Garamond" w:hAnsi="Garamond"/>
          <w:szCs w:val="24"/>
        </w:rPr>
      </w:pPr>
      <w:bookmarkStart w:id="3" w:name="_Hlk529387617"/>
      <w:r w:rsidRPr="00397B76">
        <w:rPr>
          <w:rFonts w:ascii="Garamond" w:hAnsi="Garamond"/>
          <w:szCs w:val="24"/>
        </w:rPr>
        <w:t>Capacité financière</w:t>
      </w:r>
    </w:p>
    <w:p w:rsidR="00EB319F" w:rsidRPr="00397B76" w:rsidRDefault="00EB319F" w:rsidP="00EB319F">
      <w:pPr>
        <w:numPr>
          <w:ilvl w:val="0"/>
          <w:numId w:val="2"/>
        </w:numPr>
        <w:spacing w:before="120"/>
        <w:rPr>
          <w:szCs w:val="24"/>
        </w:rPr>
      </w:pPr>
      <w:r w:rsidRPr="00397B76">
        <w:rPr>
          <w:i/>
          <w:szCs w:val="24"/>
          <w:lang w:eastAsia="en-US"/>
        </w:rPr>
        <w:t xml:space="preserve">Les bilans des années </w:t>
      </w:r>
      <w:r w:rsidRPr="00397B76">
        <w:rPr>
          <w:b/>
          <w:i/>
          <w:szCs w:val="24"/>
          <w:lang w:eastAsia="en-US"/>
        </w:rPr>
        <w:t>2023-2024-2025</w:t>
      </w:r>
      <w:r w:rsidRPr="00397B76">
        <w:rPr>
          <w:i/>
          <w:szCs w:val="24"/>
          <w:lang w:eastAsia="en-US"/>
        </w:rPr>
        <w:t xml:space="preserve"> certifiés par un expert-comptable ou attestés par un comptable agrée inscrit sur le tableau de l’ordre du Mali et sur lesquels doit figurer la mention suivante apposée par le service compétent des impôts « Bilans conformes aux déclarations souscrites au service des impôts » ou « attestation de certification de bilans » ;</w:t>
      </w:r>
    </w:p>
    <w:p w:rsidR="00EB319F" w:rsidRPr="00397B76" w:rsidRDefault="00EB319F" w:rsidP="00EB319F">
      <w:pPr>
        <w:numPr>
          <w:ilvl w:val="0"/>
          <w:numId w:val="2"/>
        </w:numPr>
        <w:spacing w:before="120"/>
        <w:rPr>
          <w:szCs w:val="24"/>
        </w:rPr>
      </w:pPr>
      <w:r w:rsidRPr="00397B76">
        <w:rPr>
          <w:i/>
          <w:szCs w:val="24"/>
          <w:lang w:eastAsia="en-US"/>
        </w:rPr>
        <w:t>le chiffre d’affaires moyen des trois (3) dernières années (</w:t>
      </w:r>
      <w:r w:rsidRPr="00397B76">
        <w:rPr>
          <w:b/>
          <w:i/>
          <w:szCs w:val="24"/>
          <w:lang w:eastAsia="en-US"/>
        </w:rPr>
        <w:t>2023-2024-2025)</w:t>
      </w:r>
      <w:r w:rsidRPr="00397B76">
        <w:rPr>
          <w:i/>
          <w:szCs w:val="24"/>
          <w:lang w:eastAsia="en-US"/>
        </w:rPr>
        <w:t xml:space="preserve"> doit être au moins égale au montant de l’offre ;</w:t>
      </w:r>
    </w:p>
    <w:bookmarkEnd w:id="3"/>
    <w:p w:rsidR="00EB319F" w:rsidRPr="00397B76" w:rsidRDefault="00EB319F" w:rsidP="00EB319F">
      <w:pPr>
        <w:rPr>
          <w:rFonts w:ascii="Garamond" w:hAnsi="Garamond"/>
          <w:i/>
          <w:iCs/>
          <w:szCs w:val="24"/>
        </w:rPr>
      </w:pPr>
    </w:p>
    <w:p w:rsidR="00EB319F" w:rsidRPr="00397B76" w:rsidRDefault="00EB319F" w:rsidP="00EB319F">
      <w:pPr>
        <w:rPr>
          <w:rFonts w:ascii="Garamond" w:hAnsi="Garamond"/>
          <w:szCs w:val="24"/>
        </w:rPr>
      </w:pPr>
    </w:p>
    <w:p w:rsidR="00EB319F" w:rsidRPr="00397B76" w:rsidRDefault="00EB319F" w:rsidP="00EB319F">
      <w:pPr>
        <w:pStyle w:val="Paragraphedeliste"/>
        <w:numPr>
          <w:ilvl w:val="0"/>
          <w:numId w:val="1"/>
        </w:numPr>
        <w:ind w:left="283" w:hanging="357"/>
        <w:jc w:val="both"/>
        <w:rPr>
          <w:rFonts w:ascii="Garamond" w:hAnsi="Garamond"/>
          <w:szCs w:val="24"/>
        </w:rPr>
      </w:pPr>
      <w:r w:rsidRPr="00397B76">
        <w:rPr>
          <w:rFonts w:ascii="Garamond" w:hAnsi="Garamond"/>
          <w:iCs/>
          <w:szCs w:val="24"/>
        </w:rPr>
        <w:t xml:space="preserve">Les candidats devront joindre à leurs offres les pièces administratives et fiscales suivantes : registre de commerce, certificat de non faillite datant de moins de trois (03) mois et quitus fiscal à jour. </w:t>
      </w:r>
    </w:p>
    <w:p w:rsidR="00EB319F" w:rsidRPr="00397B76" w:rsidRDefault="00EB319F" w:rsidP="00EB319F">
      <w:pPr>
        <w:pStyle w:val="Paragraphedeliste"/>
        <w:jc w:val="both"/>
        <w:rPr>
          <w:rFonts w:ascii="Garamond" w:hAnsi="Garamond"/>
          <w:szCs w:val="24"/>
        </w:rPr>
      </w:pPr>
      <w:proofErr w:type="spellStart"/>
      <w:proofErr w:type="gramStart"/>
      <w:r w:rsidRPr="00397B76">
        <w:rPr>
          <w:rFonts w:ascii="Garamond" w:hAnsi="Garamond"/>
          <w:szCs w:val="24"/>
        </w:rPr>
        <w:t>aaaa</w:t>
      </w:r>
      <w:proofErr w:type="spellEnd"/>
      <w:proofErr w:type="gramEnd"/>
    </w:p>
    <w:p w:rsidR="00EB319F" w:rsidRPr="00397B76" w:rsidRDefault="00EB319F" w:rsidP="00EB319F">
      <w:pPr>
        <w:rPr>
          <w:rFonts w:ascii="Garamond" w:hAnsi="Garamond"/>
          <w:szCs w:val="24"/>
        </w:rPr>
      </w:pPr>
    </w:p>
    <w:p w:rsidR="00EB319F" w:rsidRPr="00397B76" w:rsidRDefault="00EB319F" w:rsidP="00EB319F">
      <w:pPr>
        <w:spacing w:before="120" w:after="120"/>
        <w:rPr>
          <w:szCs w:val="24"/>
        </w:rPr>
      </w:pPr>
      <w:r w:rsidRPr="00397B76">
        <w:rPr>
          <w:iCs/>
          <w:szCs w:val="24"/>
        </w:rPr>
        <w:t>Les candidats devront joindre à leurs offres les pièces administratives suivantes :</w:t>
      </w:r>
    </w:p>
    <w:p w:rsidR="00EB319F" w:rsidRPr="00397B76" w:rsidRDefault="00EB319F" w:rsidP="00EB319F">
      <w:pPr>
        <w:pStyle w:val="Paragraphedeliste"/>
        <w:jc w:val="both"/>
        <w:rPr>
          <w:rFonts w:ascii="Arial" w:hAnsi="Arial" w:cs="Arial"/>
          <w:bCs/>
          <w:iCs/>
          <w:szCs w:val="24"/>
        </w:rPr>
      </w:pPr>
    </w:p>
    <w:p w:rsidR="00EB319F" w:rsidRPr="00397B76" w:rsidRDefault="00EB319F" w:rsidP="00EB319F">
      <w:pPr>
        <w:numPr>
          <w:ilvl w:val="0"/>
          <w:numId w:val="3"/>
        </w:numPr>
        <w:spacing w:after="160" w:line="276" w:lineRule="auto"/>
        <w:contextualSpacing/>
        <w:rPr>
          <w:rFonts w:eastAsia="Calibri"/>
          <w:b/>
          <w:szCs w:val="24"/>
          <w:lang w:eastAsia="en-US"/>
        </w:rPr>
      </w:pPr>
      <w:r w:rsidRPr="00397B76">
        <w:rPr>
          <w:rFonts w:eastAsia="Calibri"/>
          <w:b/>
          <w:szCs w:val="24"/>
          <w:lang w:eastAsia="en-US"/>
        </w:rPr>
        <w:t>Le registre de commerce ou sa photocopie certifiée conforme à l’original ;</w:t>
      </w:r>
    </w:p>
    <w:p w:rsidR="00EB319F" w:rsidRPr="00397B76" w:rsidRDefault="00EB319F" w:rsidP="00EB319F">
      <w:pPr>
        <w:numPr>
          <w:ilvl w:val="0"/>
          <w:numId w:val="3"/>
        </w:numPr>
        <w:spacing w:line="276" w:lineRule="auto"/>
        <w:contextualSpacing/>
        <w:rPr>
          <w:rFonts w:eastAsia="Calibri"/>
          <w:b/>
          <w:szCs w:val="24"/>
          <w:lang w:eastAsia="en-US"/>
        </w:rPr>
      </w:pPr>
      <w:r w:rsidRPr="00397B76">
        <w:rPr>
          <w:rFonts w:eastAsia="Calibri"/>
          <w:b/>
          <w:szCs w:val="24"/>
          <w:lang w:eastAsia="en-US"/>
        </w:rPr>
        <w:t>le quitus fiscal en cours de validité ou sa photocopie certifiée conforme à l’original ;</w:t>
      </w:r>
    </w:p>
    <w:p w:rsidR="00EB319F" w:rsidRPr="00397B76" w:rsidRDefault="00EB319F" w:rsidP="00EB319F">
      <w:pPr>
        <w:numPr>
          <w:ilvl w:val="0"/>
          <w:numId w:val="3"/>
        </w:numPr>
        <w:spacing w:line="276" w:lineRule="auto"/>
        <w:contextualSpacing/>
        <w:rPr>
          <w:rFonts w:eastAsia="Calibri"/>
          <w:b/>
          <w:szCs w:val="24"/>
          <w:lang w:eastAsia="en-US"/>
        </w:rPr>
      </w:pPr>
      <w:r w:rsidRPr="00397B76">
        <w:rPr>
          <w:rFonts w:eastAsia="Calibri"/>
          <w:b/>
          <w:szCs w:val="24"/>
          <w:lang w:eastAsia="en-US"/>
        </w:rPr>
        <w:t>le certificat de non faillite datant de moins de trois (03) mois ou sa photocopie certifiée conforme à l’original ;</w:t>
      </w:r>
    </w:p>
    <w:p w:rsidR="00EB319F" w:rsidRPr="00397B76" w:rsidRDefault="00EB319F" w:rsidP="00EB319F">
      <w:pPr>
        <w:numPr>
          <w:ilvl w:val="0"/>
          <w:numId w:val="3"/>
        </w:numPr>
        <w:spacing w:line="276" w:lineRule="auto"/>
        <w:contextualSpacing/>
        <w:rPr>
          <w:rFonts w:eastAsia="Calibri"/>
          <w:b/>
          <w:szCs w:val="24"/>
          <w:lang w:eastAsia="en-US"/>
        </w:rPr>
      </w:pPr>
      <w:r w:rsidRPr="00397B76">
        <w:rPr>
          <w:rFonts w:eastAsia="Calibri"/>
          <w:b/>
          <w:szCs w:val="24"/>
          <w:lang w:eastAsia="en-US"/>
        </w:rPr>
        <w:t>la procuration du signataire de la soumission (le cas échéant) ;</w:t>
      </w:r>
    </w:p>
    <w:p w:rsidR="00EB319F" w:rsidRPr="00397B76" w:rsidRDefault="00EB319F" w:rsidP="00EB319F">
      <w:pPr>
        <w:numPr>
          <w:ilvl w:val="0"/>
          <w:numId w:val="5"/>
        </w:numPr>
        <w:spacing w:line="276" w:lineRule="auto"/>
        <w:contextualSpacing/>
        <w:rPr>
          <w:rFonts w:eastAsia="Calibri"/>
          <w:b/>
          <w:szCs w:val="24"/>
          <w:lang w:eastAsia="en-US"/>
        </w:rPr>
      </w:pPr>
      <w:r w:rsidRPr="00397B76">
        <w:rPr>
          <w:b/>
          <w:bCs/>
          <w:szCs w:val="24"/>
        </w:rPr>
        <w:t>la carte d’identification fiscale</w:t>
      </w:r>
      <w:r w:rsidRPr="00397B76">
        <w:rPr>
          <w:rFonts w:eastAsia="Calibri"/>
          <w:b/>
          <w:szCs w:val="24"/>
          <w:lang w:eastAsia="en-US"/>
        </w:rPr>
        <w:t xml:space="preserve"> ou sa photocopie certifiée conforme à l’original.</w:t>
      </w:r>
    </w:p>
    <w:p w:rsidR="00EB319F" w:rsidRPr="00397B76" w:rsidRDefault="00EB319F" w:rsidP="00EB319F">
      <w:pPr>
        <w:spacing w:line="276" w:lineRule="auto"/>
        <w:ind w:left="1556"/>
        <w:contextualSpacing/>
        <w:rPr>
          <w:rFonts w:eastAsia="Calibri"/>
          <w:b/>
          <w:szCs w:val="24"/>
          <w:lang w:eastAsia="en-US"/>
        </w:rPr>
      </w:pPr>
    </w:p>
    <w:p w:rsidR="00EB319F" w:rsidRPr="00397B76" w:rsidRDefault="00EB319F" w:rsidP="00EB319F">
      <w:pPr>
        <w:ind w:left="50"/>
        <w:rPr>
          <w:szCs w:val="24"/>
        </w:rPr>
      </w:pPr>
      <w:r w:rsidRPr="00397B76">
        <w:rPr>
          <w:szCs w:val="24"/>
        </w:rPr>
        <w:t>NB : L’attributaire provisoire du marché doit obligatoirement fournir dans un délai de deux (02) jours ouvrables, les pièces ci-après :</w:t>
      </w:r>
    </w:p>
    <w:p w:rsidR="00EB319F" w:rsidRPr="00397B76" w:rsidRDefault="00EB319F" w:rsidP="00EB319F">
      <w:pPr>
        <w:ind w:left="50"/>
        <w:rPr>
          <w:szCs w:val="24"/>
        </w:rPr>
      </w:pPr>
    </w:p>
    <w:p w:rsidR="00EB319F" w:rsidRPr="00397B76" w:rsidRDefault="00EB319F" w:rsidP="00EB319F">
      <w:pPr>
        <w:numPr>
          <w:ilvl w:val="0"/>
          <w:numId w:val="4"/>
        </w:numPr>
        <w:autoSpaceDN w:val="0"/>
        <w:rPr>
          <w:b/>
          <w:bCs/>
          <w:szCs w:val="24"/>
        </w:rPr>
      </w:pPr>
      <w:r w:rsidRPr="00397B76">
        <w:rPr>
          <w:b/>
          <w:bCs/>
          <w:szCs w:val="24"/>
        </w:rPr>
        <w:t>Statuts ;</w:t>
      </w:r>
    </w:p>
    <w:p w:rsidR="00EB319F" w:rsidRPr="00397B76" w:rsidRDefault="00EB319F" w:rsidP="00EB319F">
      <w:pPr>
        <w:numPr>
          <w:ilvl w:val="0"/>
          <w:numId w:val="4"/>
        </w:numPr>
        <w:autoSpaceDN w:val="0"/>
        <w:rPr>
          <w:b/>
          <w:bCs/>
          <w:szCs w:val="24"/>
        </w:rPr>
      </w:pPr>
      <w:r w:rsidRPr="00397B76">
        <w:rPr>
          <w:b/>
          <w:bCs/>
          <w:szCs w:val="24"/>
        </w:rPr>
        <w:t>Attestation de l’Institut National de Prévoyance Social (INPS) ;</w:t>
      </w:r>
    </w:p>
    <w:p w:rsidR="00EB319F" w:rsidRPr="00397B76" w:rsidRDefault="00EB319F" w:rsidP="00EB319F">
      <w:pPr>
        <w:numPr>
          <w:ilvl w:val="0"/>
          <w:numId w:val="4"/>
        </w:numPr>
        <w:autoSpaceDN w:val="0"/>
        <w:rPr>
          <w:b/>
          <w:bCs/>
          <w:szCs w:val="24"/>
        </w:rPr>
      </w:pPr>
      <w:r w:rsidRPr="00397B76">
        <w:rPr>
          <w:b/>
          <w:bCs/>
          <w:szCs w:val="24"/>
        </w:rPr>
        <w:t>Attestation de l’Office Malien de l’Habitant (OMH).</w:t>
      </w:r>
    </w:p>
    <w:p w:rsidR="00EB319F" w:rsidRPr="00397B76" w:rsidRDefault="00EB319F" w:rsidP="00EB319F">
      <w:pPr>
        <w:pStyle w:val="Paragraphedeliste"/>
        <w:ind w:left="284"/>
        <w:jc w:val="both"/>
        <w:rPr>
          <w:rFonts w:ascii="Garamond" w:hAnsi="Garamond"/>
          <w:szCs w:val="24"/>
        </w:rPr>
      </w:pPr>
    </w:p>
    <w:p w:rsidR="00EB319F" w:rsidRPr="00C3529F" w:rsidRDefault="00EB319F" w:rsidP="00EB319F">
      <w:pPr>
        <w:pStyle w:val="Paragraphedeliste"/>
        <w:numPr>
          <w:ilvl w:val="0"/>
          <w:numId w:val="1"/>
        </w:numPr>
        <w:ind w:left="284"/>
        <w:jc w:val="both"/>
        <w:rPr>
          <w:rFonts w:ascii="Garamond" w:hAnsi="Garamond"/>
          <w:szCs w:val="24"/>
        </w:rPr>
      </w:pPr>
      <w:r w:rsidRPr="00C3529F">
        <w:rPr>
          <w:rFonts w:ascii="Garamond" w:hAnsi="Garamond"/>
          <w:szCs w:val="24"/>
        </w:rPr>
        <w:t>Les candidats intéressés peuvent consulter gratuitement le dossier de DRPO complet à l’adresse du CNCM susmentionnée.</w:t>
      </w:r>
    </w:p>
    <w:p w:rsidR="00EB319F" w:rsidRPr="00C3529F" w:rsidRDefault="00EB319F" w:rsidP="00EB319F">
      <w:pPr>
        <w:rPr>
          <w:rFonts w:ascii="Garamond" w:hAnsi="Garamond"/>
          <w:szCs w:val="24"/>
        </w:rPr>
      </w:pPr>
    </w:p>
    <w:p w:rsidR="00EB319F" w:rsidRPr="00C3529F" w:rsidRDefault="00EB319F" w:rsidP="00EB319F">
      <w:pPr>
        <w:rPr>
          <w:b/>
          <w:szCs w:val="24"/>
        </w:rPr>
      </w:pPr>
      <w:r w:rsidRPr="00C3529F">
        <w:rPr>
          <w:rFonts w:ascii="Garamond" w:hAnsi="Garamond"/>
          <w:szCs w:val="24"/>
        </w:rPr>
        <w:t xml:space="preserve">      Les offres devront être soumises au CNCM, secrétariat du Directeur Général, au plus tard le 02 novembre    2026 </w:t>
      </w:r>
      <w:r w:rsidRPr="00C3529F">
        <w:rPr>
          <w:szCs w:val="24"/>
        </w:rPr>
        <w:t xml:space="preserve">à 10 heures à l’adresse suivante : </w:t>
      </w:r>
      <w:r w:rsidRPr="00C3529F">
        <w:rPr>
          <w:b/>
          <w:szCs w:val="24"/>
          <w:lang w:val="zh-CN"/>
        </w:rPr>
        <w:t>CNCM</w:t>
      </w:r>
      <w:r w:rsidRPr="00C3529F">
        <w:rPr>
          <w:b/>
          <w:szCs w:val="24"/>
        </w:rPr>
        <w:t xml:space="preserve">. </w:t>
      </w:r>
      <w:r w:rsidRPr="00C3529F">
        <w:rPr>
          <w:szCs w:val="24"/>
        </w:rPr>
        <w:t xml:space="preserve">BP : E.4075-Avenue Balla Moussa KEÏTA, derrière Hôtel de l’Amitié, près du marché à fruits </w:t>
      </w:r>
      <w:proofErr w:type="spellStart"/>
      <w:r w:rsidRPr="00C3529F">
        <w:rPr>
          <w:szCs w:val="24"/>
        </w:rPr>
        <w:t>Namassadangan</w:t>
      </w:r>
      <w:proofErr w:type="spellEnd"/>
      <w:r w:rsidRPr="00C3529F">
        <w:rPr>
          <w:b/>
          <w:szCs w:val="24"/>
        </w:rPr>
        <w:t>.</w:t>
      </w:r>
    </w:p>
    <w:p w:rsidR="00EB319F" w:rsidRPr="00C3529F" w:rsidRDefault="00EB319F" w:rsidP="00EB319F">
      <w:pPr>
        <w:rPr>
          <w:szCs w:val="24"/>
        </w:rPr>
      </w:pPr>
      <w:hyperlink r:id="rId7" w:history="1"/>
    </w:p>
    <w:p w:rsidR="00EB319F" w:rsidRPr="00C3529F" w:rsidRDefault="00EB319F" w:rsidP="00EB319F">
      <w:pPr>
        <w:pStyle w:val="Paragraphedeliste"/>
        <w:numPr>
          <w:ilvl w:val="0"/>
          <w:numId w:val="1"/>
        </w:numPr>
        <w:ind w:left="284"/>
        <w:jc w:val="both"/>
        <w:rPr>
          <w:rFonts w:ascii="Garamond" w:hAnsi="Garamond"/>
          <w:szCs w:val="24"/>
        </w:rPr>
      </w:pPr>
      <w:r w:rsidRPr="00C3529F">
        <w:rPr>
          <w:rFonts w:ascii="Garamond" w:hAnsi="Garamond"/>
          <w:szCs w:val="24"/>
        </w:rPr>
        <w:t xml:space="preserve">. Les offres remises en retard ne seront pas acceptées. </w:t>
      </w:r>
    </w:p>
    <w:p w:rsidR="00EB319F" w:rsidRPr="00C3529F" w:rsidRDefault="00EB319F" w:rsidP="00EB319F">
      <w:pPr>
        <w:pStyle w:val="Paragraphedeliste"/>
        <w:ind w:left="284"/>
        <w:jc w:val="both"/>
        <w:rPr>
          <w:rFonts w:ascii="Garamond" w:hAnsi="Garamond"/>
          <w:szCs w:val="24"/>
        </w:rPr>
      </w:pPr>
    </w:p>
    <w:p w:rsidR="00EB319F" w:rsidRPr="00C3529F" w:rsidRDefault="00EB319F" w:rsidP="00EB319F">
      <w:pPr>
        <w:pStyle w:val="Paragraphedeliste"/>
        <w:numPr>
          <w:ilvl w:val="0"/>
          <w:numId w:val="1"/>
        </w:numPr>
        <w:ind w:left="284"/>
        <w:jc w:val="both"/>
        <w:rPr>
          <w:rFonts w:ascii="Garamond" w:hAnsi="Garamond"/>
          <w:szCs w:val="24"/>
        </w:rPr>
      </w:pPr>
      <w:r w:rsidRPr="00C3529F">
        <w:rPr>
          <w:rFonts w:ascii="Garamond" w:hAnsi="Garamond"/>
          <w:szCs w:val="24"/>
        </w:rPr>
        <w:lastRenderedPageBreak/>
        <w:t xml:space="preserve">Les offres doivent comprendre une garantie de soumission, d’un montant de </w:t>
      </w:r>
      <w:r w:rsidRPr="00C3529F">
        <w:rPr>
          <w:szCs w:val="24"/>
        </w:rPr>
        <w:t>Un million neuf cent cinquante mille (1 950 000) FCFA</w:t>
      </w:r>
      <w:r w:rsidRPr="00C3529F">
        <w:rPr>
          <w:rFonts w:ascii="Garamond" w:hAnsi="Garamond"/>
          <w:i/>
          <w:iCs/>
          <w:szCs w:val="24"/>
        </w:rPr>
        <w:t>.</w:t>
      </w:r>
    </w:p>
    <w:p w:rsidR="00EB319F" w:rsidRPr="00C3529F" w:rsidRDefault="00EB319F" w:rsidP="00EB319F">
      <w:pPr>
        <w:pStyle w:val="Paragraphedeliste"/>
        <w:rPr>
          <w:rFonts w:ascii="Garamond" w:hAnsi="Garamond"/>
          <w:szCs w:val="24"/>
        </w:rPr>
      </w:pPr>
    </w:p>
    <w:p w:rsidR="00EB319F" w:rsidRPr="00C3529F" w:rsidRDefault="00EB319F" w:rsidP="00EB319F">
      <w:pPr>
        <w:pStyle w:val="Paragraphedeliste"/>
        <w:numPr>
          <w:ilvl w:val="0"/>
          <w:numId w:val="1"/>
        </w:numPr>
        <w:ind w:left="284"/>
        <w:jc w:val="both"/>
        <w:rPr>
          <w:rFonts w:ascii="Garamond" w:hAnsi="Garamond"/>
          <w:szCs w:val="24"/>
        </w:rPr>
      </w:pPr>
      <w:r w:rsidRPr="00C3529F">
        <w:rPr>
          <w:rFonts w:ascii="Garamond" w:hAnsi="Garamond"/>
          <w:szCs w:val="24"/>
        </w:rPr>
        <w:t>Les Soumissionnaires</w:t>
      </w:r>
      <w:r w:rsidRPr="00C3529F" w:rsidDel="002A4657">
        <w:rPr>
          <w:rFonts w:ascii="Garamond" w:hAnsi="Garamond"/>
          <w:szCs w:val="24"/>
        </w:rPr>
        <w:t xml:space="preserve"> </w:t>
      </w:r>
      <w:r w:rsidRPr="00C3529F">
        <w:rPr>
          <w:rFonts w:ascii="Garamond" w:hAnsi="Garamond"/>
          <w:szCs w:val="24"/>
        </w:rPr>
        <w:t xml:space="preserve">resteront engagés par leur offre pendant une période de quatre-vingt-dix jours (90) jours à compter de la date limite du dépôt des offres.  </w:t>
      </w:r>
    </w:p>
    <w:p w:rsidR="00EB319F" w:rsidRPr="00C3529F" w:rsidRDefault="00EB319F" w:rsidP="00EB319F">
      <w:pPr>
        <w:pStyle w:val="Paragraphedeliste"/>
        <w:ind w:left="284"/>
        <w:jc w:val="both"/>
        <w:rPr>
          <w:rFonts w:ascii="Garamond" w:hAnsi="Garamond"/>
          <w:szCs w:val="24"/>
        </w:rPr>
      </w:pPr>
    </w:p>
    <w:p w:rsidR="00EB319F" w:rsidRPr="00C3529F" w:rsidRDefault="00EB319F" w:rsidP="00EB319F">
      <w:pPr>
        <w:pStyle w:val="Paragraphedeliste"/>
        <w:ind w:left="284"/>
        <w:jc w:val="both"/>
        <w:rPr>
          <w:rFonts w:ascii="Garamond" w:hAnsi="Garamond"/>
          <w:szCs w:val="24"/>
        </w:rPr>
      </w:pPr>
    </w:p>
    <w:p w:rsidR="00EB319F" w:rsidRPr="00C3529F" w:rsidRDefault="00EB319F" w:rsidP="00EB319F">
      <w:pPr>
        <w:pStyle w:val="Paragraphedeliste"/>
        <w:numPr>
          <w:ilvl w:val="0"/>
          <w:numId w:val="1"/>
        </w:numPr>
        <w:ind w:left="284"/>
        <w:jc w:val="both"/>
        <w:rPr>
          <w:rFonts w:ascii="Garamond" w:hAnsi="Garamond"/>
          <w:szCs w:val="24"/>
        </w:rPr>
      </w:pPr>
      <w:r w:rsidRPr="00C3529F">
        <w:rPr>
          <w:rFonts w:ascii="Garamond" w:hAnsi="Garamond"/>
          <w:szCs w:val="24"/>
        </w:rPr>
        <w:t xml:space="preserve">Les offres seront ouvertes en présence des représentants des soumissionnaires qui souhaitent assister à l’ouverture des plis </w:t>
      </w:r>
      <w:r w:rsidRPr="00C3529F">
        <w:rPr>
          <w:rFonts w:ascii="Garamond" w:hAnsi="Garamond"/>
          <w:b/>
          <w:szCs w:val="24"/>
        </w:rPr>
        <w:t xml:space="preserve">le </w:t>
      </w:r>
      <w:r w:rsidRPr="00C3529F">
        <w:rPr>
          <w:rFonts w:ascii="Garamond" w:hAnsi="Garamond"/>
          <w:b/>
          <w:iCs/>
          <w:szCs w:val="24"/>
        </w:rPr>
        <w:t xml:space="preserve">02 novembre 2026 </w:t>
      </w:r>
      <w:r w:rsidRPr="00C3529F">
        <w:rPr>
          <w:rFonts w:ascii="Garamond" w:hAnsi="Garamond"/>
          <w:b/>
          <w:szCs w:val="24"/>
        </w:rPr>
        <w:t>à 10 heures</w:t>
      </w:r>
      <w:r w:rsidRPr="00C3529F">
        <w:rPr>
          <w:rFonts w:ascii="Garamond" w:hAnsi="Garamond"/>
          <w:szCs w:val="24"/>
        </w:rPr>
        <w:t xml:space="preserve"> dans la </w:t>
      </w:r>
      <w:r w:rsidRPr="00C3529F">
        <w:rPr>
          <w:rFonts w:ascii="Garamond" w:hAnsi="Garamond"/>
          <w:b/>
          <w:i/>
          <w:szCs w:val="24"/>
        </w:rPr>
        <w:t>salle de réunion du CNCM</w:t>
      </w:r>
      <w:r w:rsidRPr="00C3529F">
        <w:rPr>
          <w:rFonts w:ascii="Garamond" w:hAnsi="Garamond"/>
          <w:b/>
          <w:szCs w:val="24"/>
        </w:rPr>
        <w:t>.</w:t>
      </w:r>
    </w:p>
    <w:p w:rsidR="00EB319F" w:rsidRPr="00C3529F" w:rsidRDefault="00EB319F" w:rsidP="00EB319F">
      <w:pPr>
        <w:pStyle w:val="Paragraphedeliste"/>
        <w:jc w:val="both"/>
        <w:rPr>
          <w:rFonts w:ascii="Garamond" w:hAnsi="Garamond"/>
          <w:szCs w:val="24"/>
        </w:rPr>
      </w:pPr>
      <w:r w:rsidRPr="00C3529F">
        <w:rPr>
          <w:rFonts w:ascii="Garamond" w:hAnsi="Garamond"/>
          <w:szCs w:val="24"/>
        </w:rPr>
        <w:tab/>
      </w:r>
      <w:r w:rsidRPr="00C3529F">
        <w:rPr>
          <w:rFonts w:ascii="Garamond" w:hAnsi="Garamond"/>
          <w:szCs w:val="24"/>
        </w:rPr>
        <w:tab/>
      </w:r>
      <w:r w:rsidRPr="00C3529F">
        <w:rPr>
          <w:rFonts w:ascii="Garamond" w:hAnsi="Garamond"/>
          <w:szCs w:val="24"/>
        </w:rPr>
        <w:tab/>
      </w:r>
      <w:r w:rsidRPr="00C3529F">
        <w:rPr>
          <w:rFonts w:ascii="Garamond" w:hAnsi="Garamond"/>
          <w:szCs w:val="24"/>
        </w:rPr>
        <w:tab/>
      </w:r>
      <w:r w:rsidRPr="00C3529F">
        <w:rPr>
          <w:rFonts w:ascii="Garamond" w:hAnsi="Garamond"/>
          <w:szCs w:val="24"/>
        </w:rPr>
        <w:tab/>
      </w:r>
      <w:r w:rsidRPr="00C3529F">
        <w:rPr>
          <w:rFonts w:ascii="Garamond" w:hAnsi="Garamond"/>
          <w:szCs w:val="24"/>
        </w:rPr>
        <w:tab/>
      </w:r>
    </w:p>
    <w:p w:rsidR="00EB319F" w:rsidRPr="00C3529F" w:rsidRDefault="00EB319F" w:rsidP="00EB319F">
      <w:pPr>
        <w:pStyle w:val="Paragraphedeliste"/>
        <w:jc w:val="both"/>
        <w:rPr>
          <w:rFonts w:ascii="Garamond" w:hAnsi="Garamond"/>
          <w:szCs w:val="24"/>
        </w:rPr>
      </w:pPr>
      <w:r w:rsidRPr="00C3529F">
        <w:rPr>
          <w:rFonts w:ascii="Garamond" w:hAnsi="Garamond"/>
          <w:szCs w:val="24"/>
        </w:rPr>
        <w:t xml:space="preserve">                                                                                                                                 </w:t>
      </w:r>
      <w:bookmarkStart w:id="4" w:name="_Hlk498293228"/>
      <w:r w:rsidRPr="00C3529F">
        <w:rPr>
          <w:rFonts w:ascii="Garamond" w:hAnsi="Garamond"/>
          <w:szCs w:val="24"/>
        </w:rPr>
        <w:t>Bamako, le……………………</w:t>
      </w:r>
    </w:p>
    <w:bookmarkEnd w:id="4"/>
    <w:p w:rsidR="00EB319F" w:rsidRPr="00C3529F" w:rsidRDefault="00EB319F" w:rsidP="00EB319F">
      <w:pPr>
        <w:ind w:left="1416"/>
        <w:rPr>
          <w:rFonts w:ascii="Garamond" w:hAnsi="Garamond" w:cs="Tahoma"/>
          <w:szCs w:val="24"/>
        </w:rPr>
      </w:pPr>
      <w:r w:rsidRPr="00C3529F">
        <w:rPr>
          <w:rFonts w:ascii="Garamond" w:hAnsi="Garamond" w:cs="Tahoma"/>
          <w:szCs w:val="24"/>
        </w:rPr>
        <w:tab/>
      </w:r>
      <w:r w:rsidRPr="00C3529F">
        <w:rPr>
          <w:rFonts w:ascii="Garamond" w:hAnsi="Garamond" w:cs="Tahoma"/>
          <w:szCs w:val="24"/>
        </w:rPr>
        <w:tab/>
      </w:r>
      <w:r w:rsidRPr="00C3529F">
        <w:rPr>
          <w:rFonts w:ascii="Garamond" w:hAnsi="Garamond" w:cs="Tahoma"/>
          <w:szCs w:val="24"/>
        </w:rPr>
        <w:tab/>
      </w:r>
      <w:r w:rsidRPr="00C3529F">
        <w:rPr>
          <w:rFonts w:ascii="Garamond" w:hAnsi="Garamond" w:cs="Tahoma"/>
          <w:szCs w:val="24"/>
        </w:rPr>
        <w:tab/>
      </w:r>
      <w:r w:rsidRPr="00C3529F">
        <w:rPr>
          <w:rFonts w:ascii="Garamond" w:hAnsi="Garamond" w:cs="Tahoma"/>
          <w:szCs w:val="24"/>
        </w:rPr>
        <w:tab/>
      </w:r>
      <w:r w:rsidRPr="00C3529F">
        <w:rPr>
          <w:rFonts w:ascii="Garamond" w:hAnsi="Garamond" w:cs="Tahoma"/>
          <w:szCs w:val="24"/>
        </w:rPr>
        <w:tab/>
        <w:t xml:space="preserve">               Le Directeur Général,</w:t>
      </w:r>
      <w:r w:rsidRPr="00C3529F">
        <w:rPr>
          <w:rFonts w:ascii="Garamond" w:eastAsia="Calibri" w:hAnsi="Garamond"/>
          <w:szCs w:val="24"/>
        </w:rPr>
        <w:t xml:space="preserve">                                                                                                                         </w:t>
      </w:r>
      <w:r w:rsidRPr="00C3529F">
        <w:rPr>
          <w:rFonts w:ascii="Garamond" w:hAnsi="Garamond" w:cs="Tahoma"/>
          <w:szCs w:val="24"/>
        </w:rPr>
        <w:t xml:space="preserve">                                                                                                                                              </w:t>
      </w:r>
    </w:p>
    <w:p w:rsidR="00EB319F" w:rsidRPr="00C3529F" w:rsidRDefault="00EB319F" w:rsidP="00EB319F">
      <w:pPr>
        <w:rPr>
          <w:rFonts w:ascii="Garamond" w:hAnsi="Garamond" w:cs="Tahoma"/>
          <w:szCs w:val="24"/>
        </w:rPr>
      </w:pPr>
    </w:p>
    <w:p w:rsidR="00EB319F" w:rsidRPr="00C3529F" w:rsidRDefault="00EB319F" w:rsidP="00EB319F">
      <w:pPr>
        <w:contextualSpacing/>
        <w:rPr>
          <w:rFonts w:ascii="Garamond" w:hAnsi="Garamond"/>
          <w:szCs w:val="24"/>
        </w:rPr>
      </w:pPr>
      <w:r w:rsidRPr="00C3529F">
        <w:rPr>
          <w:rFonts w:ascii="Garamond" w:hAnsi="Garamond" w:cs="Tahoma"/>
          <w:szCs w:val="24"/>
        </w:rPr>
        <w:t xml:space="preserve">                                                                                     </w:t>
      </w:r>
      <w:r w:rsidRPr="00C3529F">
        <w:rPr>
          <w:rFonts w:ascii="Garamond" w:hAnsi="Garamond"/>
          <w:b/>
          <w:szCs w:val="24"/>
          <w:u w:val="single"/>
        </w:rPr>
        <w:t>Pr Sidy Lamine BAGAYOKO</w:t>
      </w:r>
    </w:p>
    <w:p w:rsidR="00EB319F" w:rsidRPr="00C3529F" w:rsidRDefault="00EB319F" w:rsidP="00EB319F">
      <w:pPr>
        <w:pStyle w:val="Paragraphedeliste"/>
        <w:rPr>
          <w:rFonts w:ascii="Garamond" w:hAnsi="Garamond"/>
          <w:szCs w:val="24"/>
        </w:rPr>
      </w:pPr>
      <w:r w:rsidRPr="00C3529F">
        <w:rPr>
          <w:rFonts w:ascii="Garamond" w:hAnsi="Garamond"/>
          <w:szCs w:val="24"/>
        </w:rPr>
        <w:t xml:space="preserve">                                                                      </w:t>
      </w:r>
    </w:p>
    <w:p w:rsidR="00DE4F86" w:rsidRDefault="00EB319F" w:rsidP="00EB319F">
      <w:r>
        <w:rPr>
          <w:rFonts w:ascii="Garamond" w:hAnsi="Garamond"/>
          <w:b/>
          <w:sz w:val="28"/>
          <w:szCs w:val="28"/>
        </w:rPr>
        <w:br w:type="page"/>
      </w:r>
    </w:p>
    <w:sectPr w:rsidR="00DE4F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31FBD"/>
    <w:multiLevelType w:val="hybridMultilevel"/>
    <w:tmpl w:val="838E3C1C"/>
    <w:lvl w:ilvl="0" w:tplc="99886AB6">
      <w:start w:val="1"/>
      <w:numFmt w:val="bullet"/>
      <w:lvlText w:val="-"/>
      <w:lvlJc w:val="left"/>
      <w:pPr>
        <w:ind w:left="770" w:hanging="360"/>
      </w:pPr>
      <w:rPr>
        <w:rFonts w:ascii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1996406F"/>
    <w:multiLevelType w:val="hybridMultilevel"/>
    <w:tmpl w:val="5B345074"/>
    <w:lvl w:ilvl="0" w:tplc="040C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AB30948"/>
    <w:multiLevelType w:val="hybridMultilevel"/>
    <w:tmpl w:val="809663AE"/>
    <w:lvl w:ilvl="0" w:tplc="6180C4BA">
      <w:numFmt w:val="decimal"/>
      <w:lvlText w:val=""/>
      <w:lvlJc w:val="left"/>
      <w:pPr>
        <w:ind w:left="1556" w:hanging="705"/>
      </w:pPr>
      <w:rPr>
        <w:rFonts w:ascii="Symbol" w:hAnsi="Symbol" w:hint="default"/>
        <w:sz w:val="22"/>
        <w:szCs w:val="22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033365"/>
    <w:multiLevelType w:val="hybridMultilevel"/>
    <w:tmpl w:val="A13637EC"/>
    <w:lvl w:ilvl="0" w:tplc="C8227B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19F"/>
    <w:rsid w:val="00DE4F86"/>
    <w:rsid w:val="00EB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C1D715-83DC-4CEC-B573-01904207E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19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Titre1">
    <w:name w:val="heading 1"/>
    <w:basedOn w:val="Normal"/>
    <w:next w:val="Normal"/>
    <w:link w:val="Titre1Car"/>
    <w:qFormat/>
    <w:rsid w:val="00EB319F"/>
    <w:pPr>
      <w:suppressAutoHyphens/>
      <w:jc w:val="center"/>
      <w:outlineLvl w:val="0"/>
    </w:pPr>
    <w:rPr>
      <w:b/>
      <w:sz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EB319F"/>
    <w:rPr>
      <w:rFonts w:ascii="Times New Roman" w:eastAsia="Times New Roman" w:hAnsi="Times New Roman" w:cs="Times New Roman"/>
      <w:b/>
      <w:sz w:val="36"/>
      <w:szCs w:val="20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EB319F"/>
    <w:pPr>
      <w:ind w:left="720"/>
      <w:contextualSpacing/>
      <w:jc w:val="left"/>
    </w:pPr>
  </w:style>
  <w:style w:type="character" w:styleId="Lienhypertexte">
    <w:name w:val="Hyperlink"/>
    <w:uiPriority w:val="99"/>
    <w:unhideWhenUsed/>
    <w:rsid w:val="00EB319F"/>
    <w:rPr>
      <w:color w:val="0563C1"/>
      <w:u w:val="single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EB319F"/>
    <w:rPr>
      <w:rFonts w:ascii="Times New Roman" w:eastAsia="Times New Roman" w:hAnsi="Times New Roman" w:cs="Times New Roman"/>
      <w:sz w:val="24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nservatoire@conservatoire-arts-mali.o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servatoire@conservatoire-arts-mali.og" TargetMode="External"/><Relationship Id="rId5" Type="http://schemas.openxmlformats.org/officeDocument/2006/relationships/hyperlink" Target="mailto:cncmali19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935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2026-11-03T20:09:00Z</dcterms:created>
  <dcterms:modified xsi:type="dcterms:W3CDTF">2026-11-03T20:10:00Z</dcterms:modified>
</cp:coreProperties>
</file>